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Arial" w:hAnsi="Arial" w:eastAsia="方正小标宋简体" w:cs="Arial"/>
          <w:color w:val="000000"/>
          <w:kern w:val="0"/>
          <w:sz w:val="44"/>
          <w:szCs w:val="44"/>
          <w:u w:val="none"/>
          <w:lang w:val="en-US" w:eastAsia="zh-CN"/>
        </w:rPr>
        <w:t>大余县发改委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重大执法决定法制审核事项清单</w:t>
      </w:r>
    </w:p>
    <w:bookmarkEnd w:id="0"/>
    <w:tbl>
      <w:tblPr>
        <w:tblStyle w:val="5"/>
        <w:tblW w:w="12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157"/>
        <w:gridCol w:w="9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执法类别</w:t>
            </w: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审核事项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5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从事可能影响油气（长输）管道保护的施工审批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57" w:type="dxa"/>
            <w:vMerge w:val="continue"/>
            <w:tcBorders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新建通过地理条件限制区域油气（长输）管道防护方案的审批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57" w:type="dxa"/>
            <w:vMerge w:val="continue"/>
            <w:tcBorders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从事可能影响油气（长输）管道保护的施工审批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"/>
              </w:rPr>
              <w:t>4</w:t>
            </w:r>
          </w:p>
        </w:tc>
        <w:tc>
          <w:tcPr>
            <w:tcW w:w="215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行政处罚</w:t>
            </w: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对违反电力法等有关规定的处罚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对价格监测定点单位违法行为的处罚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对违反节约能源法等有关规定的处罚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对固定资产投资项目违法行为的处罚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对重点（大）建设项目招标投标违法的处罚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对实施危害油气（长输）管道安全的处罚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111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157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行政强制</w:t>
            </w: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强制拆除违法修建的危害油气（长输）管道安全的建筑物、构筑物或者其他设施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111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111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</w:p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TczNDE3NWQ3MjRiY2E0YTc4ZGU5NDBmYjUyZDMifQ=="/>
  </w:docVars>
  <w:rsids>
    <w:rsidRoot w:val="3D3B48C9"/>
    <w:rsid w:val="0B0C6A5D"/>
    <w:rsid w:val="253E3188"/>
    <w:rsid w:val="3D3B48C9"/>
    <w:rsid w:val="628055E1"/>
    <w:rsid w:val="6CFC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Body Text Indent"/>
    <w:basedOn w:val="2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8</TotalTime>
  <ScaleCrop>false</ScaleCrop>
  <LinksUpToDate>false</LinksUpToDate>
  <CharactersWithSpaces>173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2022-08-05T01:37:00Z</dcterms:created>
  <dc:creator>Administrator</dc:creator>
  <cp:lastModifiedBy>Administrator</cp:lastModifiedBy>
  <dcterms:modified xsi:type="dcterms:W3CDTF">2022-10-08T09:12:52Z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DC4274BDBBF64379A0375AEB541B8033</vt:lpwstr>
  </property>
</Properties>
</file>