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72" w:lineRule="atLeast"/>
        <w:ind w:left="0" w:right="0" w:firstLine="0"/>
        <w:jc w:val="center"/>
        <w:rPr>
          <w:rFonts w:ascii="微软雅黑" w:hAnsi="微软雅黑" w:eastAsia="微软雅黑" w:cs="微软雅黑"/>
          <w:b/>
          <w:i w:val="0"/>
          <w:caps w:val="0"/>
          <w:color w:val="000000"/>
          <w:spacing w:val="0"/>
          <w:sz w:val="42"/>
          <w:szCs w:val="42"/>
        </w:rPr>
      </w:pPr>
      <w:r>
        <w:rPr>
          <w:rFonts w:hint="eastAsia" w:ascii="方正小标宋简体" w:hAnsi="方正小标宋简体" w:eastAsia="方正小标宋简体" w:cs="方正小标宋简体"/>
          <w:b w:val="0"/>
          <w:bCs/>
          <w:i w:val="0"/>
          <w:caps w:val="0"/>
          <w:color w:val="000000"/>
          <w:spacing w:val="0"/>
          <w:sz w:val="44"/>
          <w:szCs w:val="44"/>
          <w:shd w:val="clear" w:fill="FFFFFF"/>
          <w:lang w:eastAsia="zh-CN"/>
        </w:rPr>
        <w:t>大余县民政局</w:t>
      </w:r>
      <w:r>
        <w:rPr>
          <w:rFonts w:hint="eastAsia" w:ascii="方正小标宋简体" w:hAnsi="方正小标宋简体" w:eastAsia="方正小标宋简体" w:cs="方正小标宋简体"/>
          <w:b w:val="0"/>
          <w:bCs/>
          <w:i w:val="0"/>
          <w:caps w:val="0"/>
          <w:color w:val="000000"/>
          <w:spacing w:val="0"/>
          <w:sz w:val="44"/>
          <w:szCs w:val="44"/>
          <w:shd w:val="clear" w:fill="FFFFFF"/>
        </w:rPr>
        <w:t>不予行政处罚轻微违法行为清单</w:t>
      </w:r>
    </w:p>
    <w:p>
      <w:pPr>
        <w:spacing w:before="101" w:line="230" w:lineRule="auto"/>
        <w:ind w:firstLine="320" w:firstLineChars="1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单位：大余县民政局</w:t>
      </w:r>
    </w:p>
    <w:p>
      <w:pPr>
        <w:spacing w:before="101" w:line="230" w:lineRule="auto"/>
        <w:rPr>
          <w:rFonts w:hint="eastAsia" w:ascii="仿宋_GB2312" w:hAnsi="仿宋_GB2312" w:eastAsia="仿宋_GB2312" w:cs="仿宋_GB2312"/>
          <w:sz w:val="11"/>
          <w:szCs w:val="11"/>
          <w:lang w:eastAsia="zh-CN"/>
        </w:rPr>
      </w:pPr>
    </w:p>
    <w:tbl>
      <w:tblPr>
        <w:tblStyle w:val="8"/>
        <w:tblW w:w="1453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74"/>
        <w:gridCol w:w="2445"/>
        <w:gridCol w:w="2323"/>
        <w:gridCol w:w="4337"/>
        <w:gridCol w:w="1975"/>
        <w:gridCol w:w="1688"/>
        <w:gridCol w:w="89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8" w:hRule="atLeast"/>
          <w:jc w:val="center"/>
        </w:trPr>
        <w:tc>
          <w:tcPr>
            <w:tcW w:w="874"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jc w:val="center"/>
              <w:textAlignment w:val="baseline"/>
              <w:rPr>
                <w:rFonts w:hint="eastAsia" w:ascii="仿宋_GB2312" w:hAnsi="仿宋_GB2312" w:eastAsia="仿宋_GB2312" w:cs="仿宋_GB2312"/>
                <w:b/>
                <w:bCs/>
                <w:sz w:val="22"/>
                <w:szCs w:val="22"/>
              </w:rPr>
            </w:pPr>
            <w:r>
              <w:rPr>
                <w:rFonts w:hint="eastAsia" w:ascii="仿宋_GB2312" w:hAnsi="仿宋_GB2312" w:eastAsia="仿宋_GB2312" w:cs="仿宋_GB2312"/>
                <w:b/>
                <w:bCs/>
                <w:spacing w:val="-2"/>
                <w:sz w:val="22"/>
                <w:szCs w:val="22"/>
              </w:rPr>
              <w:t>序号</w:t>
            </w:r>
          </w:p>
        </w:tc>
        <w:tc>
          <w:tcPr>
            <w:tcW w:w="2445"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jc w:val="center"/>
              <w:textAlignment w:val="baseline"/>
              <w:rPr>
                <w:rFonts w:hint="eastAsia" w:ascii="仿宋_GB2312" w:hAnsi="仿宋_GB2312" w:eastAsia="仿宋_GB2312" w:cs="仿宋_GB2312"/>
                <w:b/>
                <w:bCs/>
                <w:sz w:val="22"/>
                <w:szCs w:val="22"/>
                <w:lang w:eastAsia="zh-CN"/>
              </w:rPr>
            </w:pPr>
            <w:r>
              <w:rPr>
                <w:rFonts w:hint="eastAsia" w:ascii="仿宋_GB2312" w:hAnsi="仿宋_GB2312" w:eastAsia="仿宋_GB2312" w:cs="仿宋_GB2312"/>
                <w:b/>
                <w:bCs/>
                <w:spacing w:val="-4"/>
                <w:sz w:val="22"/>
                <w:szCs w:val="22"/>
                <w:lang w:eastAsia="zh-CN"/>
              </w:rPr>
              <w:t>违法行为</w:t>
            </w:r>
          </w:p>
        </w:tc>
        <w:tc>
          <w:tcPr>
            <w:tcW w:w="2323"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jc w:val="center"/>
              <w:textAlignment w:val="baseline"/>
              <w:rPr>
                <w:rFonts w:hint="eastAsia" w:ascii="仿宋_GB2312" w:hAnsi="仿宋_GB2312" w:eastAsia="仿宋_GB2312" w:cs="仿宋_GB2312"/>
                <w:b/>
                <w:bCs/>
                <w:sz w:val="22"/>
                <w:szCs w:val="22"/>
              </w:rPr>
            </w:pPr>
            <w:r>
              <w:rPr>
                <w:rFonts w:hint="eastAsia" w:ascii="仿宋_GB2312" w:hAnsi="仿宋_GB2312" w:eastAsia="仿宋_GB2312" w:cs="仿宋_GB2312"/>
                <w:b/>
                <w:bCs/>
                <w:spacing w:val="-2"/>
                <w:sz w:val="22"/>
                <w:szCs w:val="22"/>
              </w:rPr>
              <w:t>设定依据</w:t>
            </w:r>
          </w:p>
        </w:tc>
        <w:tc>
          <w:tcPr>
            <w:tcW w:w="4337"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jc w:val="center"/>
              <w:textAlignment w:val="baseline"/>
              <w:rPr>
                <w:rFonts w:hint="eastAsia" w:ascii="仿宋_GB2312" w:hAnsi="仿宋_GB2312" w:eastAsia="仿宋_GB2312" w:cs="仿宋_GB2312"/>
                <w:b/>
                <w:bCs/>
                <w:sz w:val="22"/>
                <w:szCs w:val="22"/>
              </w:rPr>
            </w:pPr>
            <w:r>
              <w:rPr>
                <w:rFonts w:hint="eastAsia" w:ascii="仿宋_GB2312" w:hAnsi="仿宋_GB2312" w:eastAsia="仿宋_GB2312" w:cs="仿宋_GB2312"/>
                <w:b/>
                <w:bCs/>
                <w:spacing w:val="-3"/>
                <w:sz w:val="22"/>
                <w:szCs w:val="22"/>
              </w:rPr>
              <w:t>适用情形</w:t>
            </w:r>
          </w:p>
        </w:tc>
        <w:tc>
          <w:tcPr>
            <w:tcW w:w="1975"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jc w:val="center"/>
              <w:textAlignment w:val="baseline"/>
              <w:rPr>
                <w:rFonts w:hint="eastAsia" w:ascii="仿宋_GB2312" w:hAnsi="仿宋_GB2312" w:eastAsia="仿宋_GB2312" w:cs="仿宋_GB2312"/>
                <w:b/>
                <w:bCs/>
                <w:sz w:val="22"/>
                <w:szCs w:val="22"/>
              </w:rPr>
            </w:pPr>
            <w:r>
              <w:rPr>
                <w:rFonts w:hint="eastAsia" w:ascii="仿宋_GB2312" w:hAnsi="仿宋_GB2312" w:eastAsia="仿宋_GB2312" w:cs="仿宋_GB2312"/>
                <w:b/>
                <w:bCs/>
                <w:spacing w:val="-1"/>
                <w:sz w:val="22"/>
                <w:szCs w:val="22"/>
                <w:lang w:eastAsia="zh-CN"/>
              </w:rPr>
              <w:t>免</w:t>
            </w:r>
            <w:r>
              <w:rPr>
                <w:rFonts w:hint="eastAsia" w:ascii="仿宋_GB2312" w:hAnsi="仿宋_GB2312" w:eastAsia="仿宋_GB2312" w:cs="仿宋_GB2312"/>
                <w:b/>
                <w:bCs/>
                <w:spacing w:val="-1"/>
                <w:sz w:val="22"/>
                <w:szCs w:val="22"/>
              </w:rPr>
              <w:t>处罚依据</w:t>
            </w:r>
          </w:p>
        </w:tc>
        <w:tc>
          <w:tcPr>
            <w:tcW w:w="1688"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jc w:val="center"/>
              <w:textAlignment w:val="baseline"/>
              <w:rPr>
                <w:rFonts w:hint="eastAsia" w:ascii="仿宋_GB2312" w:hAnsi="仿宋_GB2312" w:eastAsia="仿宋_GB2312" w:cs="仿宋_GB2312"/>
                <w:b/>
                <w:bCs/>
                <w:sz w:val="22"/>
                <w:szCs w:val="22"/>
              </w:rPr>
            </w:pPr>
            <w:r>
              <w:rPr>
                <w:rFonts w:hint="eastAsia" w:ascii="仿宋_GB2312" w:hAnsi="仿宋_GB2312" w:eastAsia="仿宋_GB2312" w:cs="仿宋_GB2312"/>
                <w:b/>
                <w:bCs/>
                <w:spacing w:val="-2"/>
                <w:sz w:val="22"/>
                <w:szCs w:val="22"/>
              </w:rPr>
              <w:t>配套监管措施</w:t>
            </w:r>
          </w:p>
        </w:tc>
        <w:tc>
          <w:tcPr>
            <w:tcW w:w="895"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jc w:val="center"/>
              <w:textAlignment w:val="baseline"/>
              <w:rPr>
                <w:rFonts w:hint="eastAsia" w:ascii="仿宋_GB2312" w:hAnsi="仿宋_GB2312" w:eastAsia="仿宋_GB2312" w:cs="仿宋_GB2312"/>
                <w:b/>
                <w:bCs/>
                <w:spacing w:val="-2"/>
                <w:sz w:val="22"/>
                <w:szCs w:val="22"/>
                <w:lang w:eastAsia="zh-CN"/>
              </w:rPr>
            </w:pPr>
            <w:r>
              <w:rPr>
                <w:rFonts w:hint="eastAsia" w:ascii="仿宋_GB2312" w:hAnsi="仿宋_GB2312" w:eastAsia="仿宋_GB2312" w:cs="仿宋_GB2312"/>
                <w:b/>
                <w:bCs/>
                <w:spacing w:val="-2"/>
                <w:sz w:val="22"/>
                <w:szCs w:val="22"/>
                <w:lang w:eastAsia="zh-CN"/>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60" w:hRule="atLeast"/>
          <w:jc w:val="center"/>
        </w:trPr>
        <w:tc>
          <w:tcPr>
            <w:tcW w:w="874"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center"/>
              <w:rPr>
                <w:rFonts w:hint="eastAsia" w:ascii="仿宋_GB2312" w:hAnsi="仿宋_GB2312" w:eastAsia="仿宋_GB2312" w:cs="仿宋_GB2312"/>
                <w:sz w:val="24"/>
                <w:szCs w:val="24"/>
              </w:rPr>
            </w:pPr>
            <w:r>
              <w:rPr>
                <w:rFonts w:ascii="仿宋_GB2312" w:hAnsi="Calibri" w:eastAsia="仿宋_GB2312" w:cs="仿宋_GB2312"/>
                <w:i w:val="0"/>
                <w:caps w:val="0"/>
                <w:snapToGrid w:val="0"/>
                <w:color w:val="000000"/>
                <w:spacing w:val="0"/>
                <w:kern w:val="0"/>
                <w:sz w:val="24"/>
                <w:szCs w:val="24"/>
                <w:lang w:val="en-US" w:eastAsia="zh-CN" w:bidi="ar"/>
              </w:rPr>
              <w:t>1</w:t>
            </w:r>
          </w:p>
        </w:tc>
        <w:tc>
          <w:tcPr>
            <w:tcW w:w="244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对社会团体超出章程规定的宗旨和业务范围进行活动的行政处罚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2323"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Calibri" w:eastAsia="仿宋_GB2312" w:cs="仿宋_GB2312"/>
                <w:i w:val="0"/>
                <w:caps w:val="0"/>
                <w:snapToGrid w:val="0"/>
                <w:color w:val="000000"/>
                <w:spacing w:val="0"/>
                <w:kern w:val="0"/>
                <w:sz w:val="24"/>
                <w:szCs w:val="24"/>
                <w:lang w:val="en-US" w:eastAsia="zh-CN" w:bidi="ar"/>
              </w:rPr>
              <w:t>《社会团体登记管理条例》第三十条</w:t>
            </w:r>
          </w:p>
        </w:tc>
        <w:tc>
          <w:tcPr>
            <w:tcW w:w="4337"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1.初次违法，危害后果轻微并及时改正，无违法经营额或者违法所得，可以不予行政处罚；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z w:val="24"/>
                <w:szCs w:val="24"/>
              </w:rPr>
            </w:pPr>
            <w:r>
              <w:rPr>
                <w:rFonts w:hint="eastAsia" w:ascii="仿宋_GB2312" w:hAnsi="Calibri" w:eastAsia="仿宋_GB2312" w:cs="仿宋_GB2312"/>
                <w:i w:val="0"/>
                <w:caps w:val="0"/>
                <w:snapToGrid w:val="0"/>
                <w:color w:val="000000"/>
                <w:spacing w:val="0"/>
                <w:kern w:val="0"/>
                <w:sz w:val="24"/>
                <w:szCs w:val="24"/>
                <w:lang w:val="en-US" w:eastAsia="zh-CN" w:bidi="ar"/>
              </w:rPr>
              <w:t>2.违法行为轻微并及时改正，无违法经营额或者违法所得，没有造成危害后果，不予行政处罚。</w:t>
            </w:r>
          </w:p>
        </w:tc>
        <w:tc>
          <w:tcPr>
            <w:tcW w:w="197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《中华人民共和国行政处罚法》第三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十三条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1688"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加强教育、指导约谈、及时复查整改情况、加强行政检查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z w:val="24"/>
                <w:szCs w:val="24"/>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895" w:type="dxa"/>
            <w:vAlign w:val="center"/>
          </w:tcPr>
          <w:p>
            <w:pPr>
              <w:pStyle w:val="9"/>
              <w:spacing w:before="65" w:line="269" w:lineRule="auto"/>
              <w:ind w:right="107"/>
              <w:rPr>
                <w:rFonts w:hint="eastAsia" w:ascii="仿宋_GB2312" w:hAnsi="仿宋_GB2312" w:eastAsia="仿宋_GB2312" w:cs="仿宋_GB2312"/>
                <w:spacing w:val="7"/>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84" w:hRule="atLeast"/>
          <w:jc w:val="center"/>
        </w:trPr>
        <w:tc>
          <w:tcPr>
            <w:tcW w:w="874"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center"/>
              <w:rPr>
                <w:rFonts w:hint="eastAsia" w:ascii="仿宋_GB2312" w:hAnsi="仿宋_GB2312" w:eastAsia="仿宋_GB2312" w:cs="仿宋_GB2312"/>
                <w:sz w:val="24"/>
                <w:szCs w:val="24"/>
              </w:rPr>
            </w:pPr>
            <w:r>
              <w:rPr>
                <w:rFonts w:ascii="仿宋_GB2312" w:hAnsi="Calibri" w:eastAsia="仿宋_GB2312" w:cs="仿宋_GB2312"/>
                <w:i w:val="0"/>
                <w:caps w:val="0"/>
                <w:snapToGrid w:val="0"/>
                <w:color w:val="000000"/>
                <w:spacing w:val="0"/>
                <w:kern w:val="0"/>
                <w:sz w:val="24"/>
                <w:szCs w:val="24"/>
                <w:lang w:val="en-US" w:eastAsia="zh-CN" w:bidi="ar"/>
              </w:rPr>
              <w:t>2</w:t>
            </w:r>
          </w:p>
        </w:tc>
        <w:tc>
          <w:tcPr>
            <w:tcW w:w="244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对社会团体不按照规定办理变更登记行为的行政处罚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652" w:firstLineChars="0"/>
              <w:jc w:val="left"/>
              <w:rPr>
                <w:rFonts w:hint="eastAsia" w:ascii="仿宋_GB2312" w:hAnsi="仿宋_GB2312" w:eastAsia="仿宋_GB2312" w:cs="仿宋_GB2312"/>
                <w:sz w:val="24"/>
                <w:szCs w:val="24"/>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2323"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《社会团体登记管理条例》第三十条第一款第四项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910" w:firstLineChars="0"/>
              <w:jc w:val="left"/>
              <w:rPr>
                <w:rFonts w:hint="eastAsia" w:ascii="仿宋_GB2312" w:hAnsi="仿宋_GB2312" w:eastAsia="仿宋_GB2312" w:cs="仿宋_GB2312"/>
                <w:sz w:val="24"/>
                <w:szCs w:val="24"/>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4337"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1.初次违法，危害后果轻微并及时改正，无违法经营额或者违法所得，可以不予行政处罚；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z w:val="24"/>
                <w:szCs w:val="24"/>
              </w:rPr>
            </w:pPr>
            <w:r>
              <w:rPr>
                <w:rFonts w:hint="eastAsia" w:ascii="仿宋_GB2312" w:hAnsi="Calibri" w:eastAsia="仿宋_GB2312" w:cs="仿宋_GB2312"/>
                <w:i w:val="0"/>
                <w:caps w:val="0"/>
                <w:snapToGrid w:val="0"/>
                <w:color w:val="000000"/>
                <w:spacing w:val="0"/>
                <w:kern w:val="0"/>
                <w:sz w:val="24"/>
                <w:szCs w:val="24"/>
                <w:lang w:val="en-US" w:eastAsia="zh-CN" w:bidi="ar"/>
              </w:rPr>
              <w:t>2.违法行为轻微并及时改正，无违法经营额或者违法所得，没有造成危害后果，不予行政处罚。</w:t>
            </w:r>
          </w:p>
        </w:tc>
        <w:tc>
          <w:tcPr>
            <w:tcW w:w="197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《中华人民共和国行政处罚法》第三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十三条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20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20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1688"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加强教育、指导约谈、及时复查整改情况、加强行政检查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z w:val="24"/>
                <w:szCs w:val="24"/>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895" w:type="dxa"/>
            <w:vAlign w:val="center"/>
          </w:tcPr>
          <w:p>
            <w:pPr>
              <w:pStyle w:val="9"/>
              <w:spacing w:before="65" w:line="268" w:lineRule="auto"/>
              <w:ind w:right="107"/>
              <w:rPr>
                <w:rFonts w:hint="eastAsia" w:ascii="仿宋_GB2312" w:hAnsi="仿宋_GB2312" w:eastAsia="仿宋_GB2312" w:cs="仿宋_GB2312"/>
                <w:spacing w:val="7"/>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21" w:hRule="atLeast"/>
          <w:jc w:val="center"/>
        </w:trPr>
        <w:tc>
          <w:tcPr>
            <w:tcW w:w="874" w:type="dxa"/>
            <w:vAlign w:val="center"/>
          </w:tcPr>
          <w:p>
            <w:pPr>
              <w:pStyle w:val="9"/>
              <w:spacing w:before="65" w:line="187"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c>
          <w:tcPr>
            <w:tcW w:w="244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ascii="Calibri" w:hAnsi="Calibri" w:cs="Calibri"/>
                <w:sz w:val="21"/>
                <w:szCs w:val="21"/>
              </w:rPr>
            </w:pPr>
            <w:r>
              <w:rPr>
                <w:rFonts w:ascii="仿宋_GB2312" w:hAnsi="Calibri" w:eastAsia="仿宋_GB2312" w:cs="仿宋_GB2312"/>
                <w:i w:val="0"/>
                <w:caps w:val="0"/>
                <w:snapToGrid w:val="0"/>
                <w:color w:val="000000"/>
                <w:spacing w:val="0"/>
                <w:kern w:val="0"/>
                <w:sz w:val="24"/>
                <w:szCs w:val="24"/>
                <w:lang w:val="en-US" w:eastAsia="zh-CN" w:bidi="ar"/>
              </w:rPr>
              <w:t>对社会团体违反规定设立分支机构、代表机构行为的行政处罚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652" w:firstLineChars="0"/>
              <w:jc w:val="left"/>
              <w:rPr>
                <w:rFonts w:hint="eastAsia" w:ascii="仿宋_GB2312" w:hAnsi="仿宋_GB2312" w:eastAsia="仿宋_GB2312" w:cs="仿宋_GB2312"/>
                <w:sz w:val="24"/>
                <w:szCs w:val="24"/>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2323"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《社会团体登记管理条例》第十七条、第三十条第一款第五项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910" w:firstLineChars="0"/>
              <w:jc w:val="left"/>
              <w:rPr>
                <w:rFonts w:hint="eastAsia" w:ascii="仿宋_GB2312" w:hAnsi="仿宋_GB2312" w:eastAsia="仿宋_GB2312" w:cs="仿宋_GB2312"/>
                <w:sz w:val="24"/>
                <w:szCs w:val="24"/>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4337"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1.初次违法，危害后果轻微并及时改正，无违法经营额或者违法所得，可以不予行政处罚；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2.违法行为轻微并及时改正，无违法经营额或者违法所得，没有造成危害后果，不予行政处罚。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200" w:firstLineChars="0"/>
              <w:jc w:val="both"/>
              <w:rPr>
                <w:rFonts w:hint="eastAsia" w:ascii="仿宋_GB2312" w:hAnsi="仿宋_GB2312" w:eastAsia="仿宋_GB2312" w:cs="仿宋_GB2312"/>
                <w:sz w:val="24"/>
                <w:szCs w:val="24"/>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197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《中华人民共和国行政处罚法》第三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十三条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829" w:firstLineChars="0"/>
              <w:jc w:val="center"/>
              <w:rPr>
                <w:rFonts w:hint="eastAsia" w:ascii="仿宋_GB2312" w:hAnsi="仿宋_GB2312" w:eastAsia="仿宋_GB2312" w:cs="仿宋_GB2312"/>
                <w:sz w:val="24"/>
                <w:szCs w:val="24"/>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1688"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z w:val="24"/>
                <w:szCs w:val="24"/>
              </w:rPr>
            </w:pPr>
            <w:r>
              <w:rPr>
                <w:rFonts w:hint="eastAsia" w:ascii="仿宋_GB2312" w:hAnsi="Calibri" w:eastAsia="仿宋_GB2312" w:cs="仿宋_GB2312"/>
                <w:i w:val="0"/>
                <w:caps w:val="0"/>
                <w:snapToGrid w:val="0"/>
                <w:color w:val="000000"/>
                <w:spacing w:val="0"/>
                <w:kern w:val="0"/>
                <w:sz w:val="24"/>
                <w:szCs w:val="24"/>
                <w:lang w:val="en-US" w:eastAsia="zh-CN" w:bidi="ar"/>
              </w:rPr>
              <w:t>加强教育、指导约谈、及时复查整改情况、加强行政检查</w:t>
            </w:r>
          </w:p>
        </w:tc>
        <w:tc>
          <w:tcPr>
            <w:tcW w:w="895" w:type="dxa"/>
            <w:vAlign w:val="center"/>
          </w:tcPr>
          <w:p>
            <w:pPr>
              <w:pStyle w:val="9"/>
              <w:spacing w:before="65" w:line="268" w:lineRule="auto"/>
              <w:ind w:right="107"/>
              <w:rPr>
                <w:rFonts w:hint="eastAsia" w:ascii="仿宋_GB2312" w:hAnsi="仿宋_GB2312" w:eastAsia="仿宋_GB2312" w:cs="仿宋_GB2312"/>
                <w:spacing w:val="7"/>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5" w:hRule="atLeast"/>
          <w:jc w:val="center"/>
        </w:trPr>
        <w:tc>
          <w:tcPr>
            <w:tcW w:w="874"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hint="eastAsia" w:ascii="黑体" w:hAnsi="黑体" w:eastAsia="黑体" w:cs="黑体"/>
                <w:snapToGrid w:val="0"/>
                <w:color w:val="000000"/>
                <w:kern w:val="0"/>
                <w:sz w:val="22"/>
                <w:szCs w:val="22"/>
                <w:lang w:val="en-US" w:eastAsia="zh-CN" w:bidi="ar-SA"/>
              </w:rPr>
            </w:pPr>
            <w:r>
              <w:rPr>
                <w:rFonts w:hint="eastAsia" w:ascii="仿宋_GB2312" w:hAnsi="仿宋_GB2312" w:eastAsia="仿宋_GB2312" w:cs="仿宋_GB2312"/>
                <w:b/>
                <w:bCs/>
                <w:spacing w:val="-2"/>
                <w:sz w:val="22"/>
                <w:szCs w:val="22"/>
              </w:rPr>
              <w:t>序号</w:t>
            </w:r>
          </w:p>
        </w:tc>
        <w:tc>
          <w:tcPr>
            <w:tcW w:w="2445"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hint="eastAsia" w:ascii="黑体" w:hAnsi="黑体" w:eastAsia="黑体" w:cs="黑体"/>
                <w:snapToGrid w:val="0"/>
                <w:color w:val="000000"/>
                <w:kern w:val="0"/>
                <w:sz w:val="22"/>
                <w:szCs w:val="22"/>
                <w:lang w:val="en-US" w:eastAsia="zh-CN" w:bidi="ar-SA"/>
              </w:rPr>
            </w:pPr>
            <w:r>
              <w:rPr>
                <w:rFonts w:hint="eastAsia" w:ascii="仿宋_GB2312" w:hAnsi="仿宋_GB2312" w:eastAsia="仿宋_GB2312" w:cs="仿宋_GB2312"/>
                <w:b/>
                <w:bCs/>
                <w:spacing w:val="-4"/>
                <w:sz w:val="22"/>
                <w:szCs w:val="22"/>
                <w:lang w:eastAsia="zh-CN"/>
              </w:rPr>
              <w:t>违法行为</w:t>
            </w:r>
          </w:p>
        </w:tc>
        <w:tc>
          <w:tcPr>
            <w:tcW w:w="2323"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hint="eastAsia" w:ascii="黑体" w:hAnsi="黑体" w:eastAsia="黑体" w:cs="黑体"/>
                <w:snapToGrid w:val="0"/>
                <w:color w:val="000000"/>
                <w:kern w:val="0"/>
                <w:sz w:val="22"/>
                <w:szCs w:val="22"/>
                <w:lang w:val="en-US" w:eastAsia="zh-CN" w:bidi="ar-SA"/>
              </w:rPr>
            </w:pPr>
            <w:r>
              <w:rPr>
                <w:rFonts w:hint="eastAsia" w:ascii="仿宋_GB2312" w:hAnsi="仿宋_GB2312" w:eastAsia="仿宋_GB2312" w:cs="仿宋_GB2312"/>
                <w:b/>
                <w:bCs/>
                <w:spacing w:val="-2"/>
                <w:sz w:val="22"/>
                <w:szCs w:val="22"/>
              </w:rPr>
              <w:t>设定依据</w:t>
            </w:r>
          </w:p>
        </w:tc>
        <w:tc>
          <w:tcPr>
            <w:tcW w:w="4337"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hint="eastAsia" w:ascii="黑体" w:hAnsi="黑体" w:eastAsia="黑体" w:cs="黑体"/>
                <w:snapToGrid w:val="0"/>
                <w:color w:val="000000"/>
                <w:kern w:val="0"/>
                <w:sz w:val="22"/>
                <w:szCs w:val="22"/>
                <w:lang w:val="en-US" w:eastAsia="zh-CN" w:bidi="ar-SA"/>
              </w:rPr>
            </w:pPr>
            <w:r>
              <w:rPr>
                <w:rFonts w:hint="eastAsia" w:ascii="仿宋_GB2312" w:hAnsi="仿宋_GB2312" w:eastAsia="仿宋_GB2312" w:cs="仿宋_GB2312"/>
                <w:b/>
                <w:bCs/>
                <w:spacing w:val="-3"/>
                <w:sz w:val="22"/>
                <w:szCs w:val="22"/>
              </w:rPr>
              <w:t>适用情形</w:t>
            </w:r>
          </w:p>
        </w:tc>
        <w:tc>
          <w:tcPr>
            <w:tcW w:w="1975"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hint="eastAsia" w:ascii="黑体" w:hAnsi="黑体" w:eastAsia="黑体" w:cs="黑体"/>
                <w:snapToGrid w:val="0"/>
                <w:color w:val="000000"/>
                <w:kern w:val="0"/>
                <w:sz w:val="22"/>
                <w:szCs w:val="22"/>
                <w:lang w:val="en-US" w:eastAsia="zh-CN" w:bidi="ar-SA"/>
              </w:rPr>
            </w:pPr>
            <w:r>
              <w:rPr>
                <w:rFonts w:hint="eastAsia" w:ascii="仿宋_GB2312" w:hAnsi="仿宋_GB2312" w:eastAsia="仿宋_GB2312" w:cs="仿宋_GB2312"/>
                <w:b/>
                <w:bCs/>
                <w:spacing w:val="-1"/>
                <w:sz w:val="22"/>
                <w:szCs w:val="22"/>
                <w:lang w:eastAsia="zh-CN"/>
              </w:rPr>
              <w:t>免</w:t>
            </w:r>
            <w:r>
              <w:rPr>
                <w:rFonts w:hint="eastAsia" w:ascii="仿宋_GB2312" w:hAnsi="仿宋_GB2312" w:eastAsia="仿宋_GB2312" w:cs="仿宋_GB2312"/>
                <w:b/>
                <w:bCs/>
                <w:spacing w:val="-1"/>
                <w:sz w:val="22"/>
                <w:szCs w:val="22"/>
              </w:rPr>
              <w:t>处罚依据</w:t>
            </w:r>
          </w:p>
        </w:tc>
        <w:tc>
          <w:tcPr>
            <w:tcW w:w="1688"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hint="eastAsia" w:ascii="黑体" w:hAnsi="黑体" w:eastAsia="黑体" w:cs="黑体"/>
                <w:snapToGrid w:val="0"/>
                <w:color w:val="000000"/>
                <w:kern w:val="0"/>
                <w:sz w:val="22"/>
                <w:szCs w:val="22"/>
                <w:lang w:val="en-US" w:eastAsia="zh-CN" w:bidi="ar-SA"/>
              </w:rPr>
            </w:pPr>
            <w:r>
              <w:rPr>
                <w:rFonts w:hint="eastAsia" w:ascii="仿宋_GB2312" w:hAnsi="仿宋_GB2312" w:eastAsia="仿宋_GB2312" w:cs="仿宋_GB2312"/>
                <w:b/>
                <w:bCs/>
                <w:spacing w:val="-2"/>
                <w:sz w:val="22"/>
                <w:szCs w:val="22"/>
              </w:rPr>
              <w:t>配套监管措施</w:t>
            </w:r>
          </w:p>
        </w:tc>
        <w:tc>
          <w:tcPr>
            <w:tcW w:w="895"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hint="eastAsia" w:ascii="仿宋_GB2312" w:hAnsi="仿宋_GB2312" w:eastAsia="仿宋_GB2312" w:cs="仿宋_GB2312"/>
                <w:b/>
                <w:bCs/>
                <w:spacing w:val="-2"/>
                <w:sz w:val="22"/>
                <w:szCs w:val="22"/>
                <w:lang w:eastAsia="zh-CN"/>
              </w:rPr>
            </w:pPr>
            <w:r>
              <w:rPr>
                <w:rFonts w:hint="eastAsia" w:ascii="仿宋_GB2312" w:hAnsi="仿宋_GB2312" w:eastAsia="仿宋_GB2312" w:cs="仿宋_GB2312"/>
                <w:b/>
                <w:bCs/>
                <w:spacing w:val="-2"/>
                <w:sz w:val="22"/>
                <w:szCs w:val="22"/>
                <w:lang w:eastAsia="zh-CN"/>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7" w:hRule="atLeast"/>
          <w:jc w:val="center"/>
        </w:trPr>
        <w:tc>
          <w:tcPr>
            <w:tcW w:w="874"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center"/>
              <w:rPr>
                <w:rFonts w:hint="eastAsia" w:ascii="仿宋_GB2312" w:hAnsi="仿宋_GB2312" w:eastAsia="仿宋_GB2312" w:cs="仿宋_GB2312"/>
                <w:snapToGrid w:val="0"/>
                <w:color w:val="000000"/>
                <w:kern w:val="0"/>
                <w:sz w:val="24"/>
                <w:szCs w:val="24"/>
                <w:lang w:val="en-US" w:eastAsia="zh-CN" w:bidi="ar-SA"/>
              </w:rPr>
            </w:pPr>
            <w:r>
              <w:rPr>
                <w:rFonts w:ascii="仿宋_GB2312" w:hAnsi="Calibri" w:eastAsia="仿宋_GB2312" w:cs="仿宋_GB2312"/>
                <w:i w:val="0"/>
                <w:caps w:val="0"/>
                <w:snapToGrid w:val="0"/>
                <w:color w:val="000000"/>
                <w:spacing w:val="0"/>
                <w:kern w:val="0"/>
                <w:sz w:val="24"/>
                <w:szCs w:val="24"/>
                <w:lang w:val="en-US" w:eastAsia="zh-CN" w:bidi="ar"/>
              </w:rPr>
              <w:t>4</w:t>
            </w:r>
          </w:p>
        </w:tc>
        <w:tc>
          <w:tcPr>
            <w:tcW w:w="244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对民办非企业单位超出其章程规定的宗旨和业务范围进行活动的行政处罚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652" w:firstLineChars="0"/>
              <w:jc w:val="left"/>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2323"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《民办非企业单位登记管理暂行条例》第十五条、第二十五条第二项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910" w:firstLineChars="0"/>
              <w:jc w:val="left"/>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4337"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1.初次违法，危害后果轻微并及时改正，无违法经营额或者违法所得，可以不予行政处罚；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Calibri" w:eastAsia="仿宋_GB2312" w:cs="仿宋_GB2312"/>
                <w:i w:val="0"/>
                <w:caps w:val="0"/>
                <w:snapToGrid w:val="0"/>
                <w:color w:val="000000"/>
                <w:spacing w:val="0"/>
                <w:kern w:val="0"/>
                <w:sz w:val="24"/>
                <w:szCs w:val="24"/>
                <w:lang w:val="en-US" w:eastAsia="zh-CN" w:bidi="ar"/>
              </w:rPr>
              <w:t>2.违法行为轻微并及时改正，无违法经营额或者违法所得，没有造成危害后果，不予行政处罚。</w:t>
            </w:r>
          </w:p>
        </w:tc>
        <w:tc>
          <w:tcPr>
            <w:tcW w:w="197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《中华人民共和国行政处罚法》第三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十三条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829" w:firstLineChars="0"/>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1688"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Calibri" w:eastAsia="仿宋_GB2312" w:cs="仿宋_GB2312"/>
                <w:i w:val="0"/>
                <w:caps w:val="0"/>
                <w:snapToGrid w:val="0"/>
                <w:color w:val="000000"/>
                <w:spacing w:val="0"/>
                <w:kern w:val="0"/>
                <w:sz w:val="24"/>
                <w:szCs w:val="24"/>
                <w:lang w:val="en-US" w:eastAsia="zh-CN" w:bidi="ar"/>
              </w:rPr>
              <w:t>加强教育、指导约谈、及时复查整改情况、加强行政检查</w:t>
            </w:r>
          </w:p>
        </w:tc>
        <w:tc>
          <w:tcPr>
            <w:tcW w:w="895" w:type="dxa"/>
            <w:vAlign w:val="center"/>
          </w:tcPr>
          <w:p>
            <w:pPr>
              <w:pStyle w:val="9"/>
              <w:spacing w:before="65" w:line="269" w:lineRule="auto"/>
              <w:ind w:right="109" w:rightChars="0"/>
              <w:rPr>
                <w:rFonts w:hint="eastAsia" w:ascii="仿宋_GB2312" w:hAnsi="仿宋_GB2312" w:eastAsia="仿宋_GB2312" w:cs="仿宋_GB2312"/>
                <w:spacing w:val="7"/>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4" w:hRule="atLeast"/>
          <w:jc w:val="center"/>
        </w:trPr>
        <w:tc>
          <w:tcPr>
            <w:tcW w:w="874"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center"/>
              <w:rPr>
                <w:rFonts w:hint="eastAsia" w:ascii="仿宋_GB2312" w:hAnsi="仿宋_GB2312" w:eastAsia="仿宋_GB2312" w:cs="仿宋_GB2312"/>
                <w:snapToGrid w:val="0"/>
                <w:color w:val="000000"/>
                <w:kern w:val="0"/>
                <w:sz w:val="24"/>
                <w:szCs w:val="24"/>
                <w:lang w:val="en-US" w:eastAsia="zh-CN" w:bidi="ar-SA"/>
              </w:rPr>
            </w:pPr>
            <w:r>
              <w:rPr>
                <w:rFonts w:ascii="仿宋_GB2312" w:hAnsi="Calibri" w:eastAsia="仿宋_GB2312" w:cs="仿宋_GB2312"/>
                <w:i w:val="0"/>
                <w:caps w:val="0"/>
                <w:snapToGrid w:val="0"/>
                <w:color w:val="000000"/>
                <w:spacing w:val="0"/>
                <w:kern w:val="0"/>
                <w:sz w:val="24"/>
                <w:szCs w:val="24"/>
                <w:lang w:val="en-US" w:eastAsia="zh-CN" w:bidi="ar"/>
              </w:rPr>
              <w:t>5</w:t>
            </w:r>
          </w:p>
        </w:tc>
        <w:tc>
          <w:tcPr>
            <w:tcW w:w="244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对民办非企业单位不按照规定办理变更登记行为的行政处罚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652" w:firstLineChars="0"/>
              <w:jc w:val="left"/>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2323"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《民办非企业单位登记管理暂行条例》第十五条、第二十五条第一款第四项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910" w:firstLineChars="0"/>
              <w:jc w:val="left"/>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4337"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1.初次违法，危害后果轻微并及时改正，无违法经营额或者违法所得，可以不予行政处罚；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2.违法行为轻微并及时改正，无违法经营额或者违法所得，没有造成危害后果，不予行政处罚。</w:t>
            </w:r>
          </w:p>
        </w:tc>
        <w:tc>
          <w:tcPr>
            <w:tcW w:w="197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《中华人民共和国行政处罚法》第三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十三条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829" w:firstLineChars="0"/>
              <w:jc w:val="center"/>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1688"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加强教育、指导约谈、及时复查整改情况、加强行政检查</w:t>
            </w:r>
          </w:p>
        </w:tc>
        <w:tc>
          <w:tcPr>
            <w:tcW w:w="895" w:type="dxa"/>
            <w:vAlign w:val="center"/>
          </w:tcPr>
          <w:p>
            <w:pPr>
              <w:pStyle w:val="9"/>
              <w:spacing w:before="65" w:line="269" w:lineRule="auto"/>
              <w:ind w:right="109" w:rightChars="0"/>
              <w:rPr>
                <w:rFonts w:hint="eastAsia" w:ascii="仿宋_GB2312" w:hAnsi="仿宋_GB2312" w:eastAsia="仿宋_GB2312" w:cs="仿宋_GB2312"/>
                <w:spacing w:val="7"/>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9" w:hRule="atLeast"/>
          <w:jc w:val="center"/>
        </w:trPr>
        <w:tc>
          <w:tcPr>
            <w:tcW w:w="874"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center"/>
              <w:rPr>
                <w:rFonts w:hint="eastAsia" w:ascii="仿宋_GB2312" w:hAnsi="仿宋_GB2312" w:eastAsia="仿宋_GB2312" w:cs="仿宋_GB2312"/>
                <w:snapToGrid w:val="0"/>
                <w:color w:val="000000"/>
                <w:kern w:val="0"/>
                <w:sz w:val="24"/>
                <w:szCs w:val="24"/>
                <w:lang w:val="en-US" w:eastAsia="zh-CN" w:bidi="ar-SA"/>
              </w:rPr>
            </w:pPr>
            <w:r>
              <w:rPr>
                <w:rFonts w:ascii="仿宋_GB2312" w:hAnsi="Calibri" w:eastAsia="仿宋_GB2312" w:cs="仿宋_GB2312"/>
                <w:i w:val="0"/>
                <w:caps w:val="0"/>
                <w:snapToGrid w:val="0"/>
                <w:color w:val="000000"/>
                <w:spacing w:val="0"/>
                <w:kern w:val="0"/>
                <w:sz w:val="24"/>
                <w:szCs w:val="24"/>
                <w:lang w:val="en-US" w:eastAsia="zh-CN" w:bidi="ar"/>
              </w:rPr>
              <w:t>6</w:t>
            </w:r>
          </w:p>
        </w:tc>
        <w:tc>
          <w:tcPr>
            <w:tcW w:w="244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对民办非企业单位设立分支机构行为的行政处罚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652" w:firstLineChars="0"/>
              <w:jc w:val="left"/>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2323"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《民办非企业单位登记管理暂行条例》第十三条、第二十五条第一款第五项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910" w:firstLineChars="0"/>
              <w:jc w:val="left"/>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4337"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1.初次违法，危害后果轻微并及时改正，无违法经营额或者违法所得，可以不予行政处罚；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2.违法行为轻微并及时改正，无违法经营额或者违法所得，没有造成危害后果，不予行政处罚。</w:t>
            </w:r>
          </w:p>
        </w:tc>
        <w:tc>
          <w:tcPr>
            <w:tcW w:w="197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《中华人民共和国行政处罚法》第三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十三条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829" w:firstLineChars="0"/>
              <w:jc w:val="center"/>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1688"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加强教育、指导约谈、及时复查整改情况、加强行政检查</w:t>
            </w:r>
          </w:p>
        </w:tc>
        <w:tc>
          <w:tcPr>
            <w:tcW w:w="895" w:type="dxa"/>
            <w:vAlign w:val="center"/>
          </w:tcPr>
          <w:p>
            <w:pPr>
              <w:pStyle w:val="9"/>
              <w:spacing w:before="65" w:line="269" w:lineRule="auto"/>
              <w:ind w:right="109" w:rightChars="0"/>
              <w:rPr>
                <w:rFonts w:hint="eastAsia" w:ascii="仿宋_GB2312" w:hAnsi="仿宋_GB2312" w:eastAsia="仿宋_GB2312" w:cs="仿宋_GB2312"/>
                <w:spacing w:val="7"/>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0" w:hRule="atLeast"/>
          <w:jc w:val="center"/>
        </w:trPr>
        <w:tc>
          <w:tcPr>
            <w:tcW w:w="874"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ascii="黑体" w:hAnsi="黑体" w:eastAsia="黑体" w:cs="黑体"/>
                <w:snapToGrid w:val="0"/>
                <w:color w:val="000000"/>
                <w:kern w:val="0"/>
                <w:sz w:val="22"/>
                <w:szCs w:val="22"/>
                <w:lang w:val="en-US" w:eastAsia="en-US" w:bidi="ar-SA"/>
              </w:rPr>
            </w:pPr>
            <w:r>
              <w:rPr>
                <w:rFonts w:hint="eastAsia" w:ascii="仿宋_GB2312" w:hAnsi="仿宋_GB2312" w:eastAsia="仿宋_GB2312" w:cs="仿宋_GB2312"/>
                <w:b/>
                <w:bCs/>
                <w:spacing w:val="-2"/>
                <w:sz w:val="22"/>
                <w:szCs w:val="22"/>
              </w:rPr>
              <w:t>序号</w:t>
            </w:r>
          </w:p>
        </w:tc>
        <w:tc>
          <w:tcPr>
            <w:tcW w:w="2445"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ascii="黑体" w:hAnsi="黑体" w:eastAsia="黑体" w:cs="黑体"/>
                <w:snapToGrid w:val="0"/>
                <w:color w:val="000000"/>
                <w:kern w:val="0"/>
                <w:sz w:val="22"/>
                <w:szCs w:val="22"/>
                <w:lang w:val="en-US" w:eastAsia="en-US" w:bidi="ar-SA"/>
              </w:rPr>
            </w:pPr>
            <w:r>
              <w:rPr>
                <w:rFonts w:hint="eastAsia" w:ascii="仿宋_GB2312" w:hAnsi="仿宋_GB2312" w:eastAsia="仿宋_GB2312" w:cs="仿宋_GB2312"/>
                <w:b/>
                <w:bCs/>
                <w:spacing w:val="-4"/>
                <w:sz w:val="22"/>
                <w:szCs w:val="22"/>
                <w:lang w:eastAsia="zh-CN"/>
              </w:rPr>
              <w:t>违法行为</w:t>
            </w:r>
          </w:p>
        </w:tc>
        <w:tc>
          <w:tcPr>
            <w:tcW w:w="2323"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ascii="黑体" w:hAnsi="黑体" w:eastAsia="黑体" w:cs="黑体"/>
                <w:snapToGrid w:val="0"/>
                <w:color w:val="000000"/>
                <w:kern w:val="0"/>
                <w:sz w:val="22"/>
                <w:szCs w:val="22"/>
                <w:lang w:val="en-US" w:eastAsia="en-US" w:bidi="ar-SA"/>
              </w:rPr>
            </w:pPr>
            <w:r>
              <w:rPr>
                <w:rFonts w:hint="eastAsia" w:ascii="仿宋_GB2312" w:hAnsi="仿宋_GB2312" w:eastAsia="仿宋_GB2312" w:cs="仿宋_GB2312"/>
                <w:b/>
                <w:bCs/>
                <w:spacing w:val="-2"/>
                <w:sz w:val="22"/>
                <w:szCs w:val="22"/>
              </w:rPr>
              <w:t>设定依据</w:t>
            </w:r>
          </w:p>
        </w:tc>
        <w:tc>
          <w:tcPr>
            <w:tcW w:w="4337"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ascii="黑体" w:hAnsi="黑体" w:eastAsia="黑体" w:cs="黑体"/>
                <w:snapToGrid w:val="0"/>
                <w:color w:val="000000"/>
                <w:kern w:val="0"/>
                <w:sz w:val="22"/>
                <w:szCs w:val="22"/>
                <w:lang w:val="en-US" w:eastAsia="en-US" w:bidi="ar-SA"/>
              </w:rPr>
            </w:pPr>
            <w:r>
              <w:rPr>
                <w:rFonts w:hint="eastAsia" w:ascii="仿宋_GB2312" w:hAnsi="仿宋_GB2312" w:eastAsia="仿宋_GB2312" w:cs="仿宋_GB2312"/>
                <w:b/>
                <w:bCs/>
                <w:spacing w:val="-3"/>
                <w:sz w:val="22"/>
                <w:szCs w:val="22"/>
              </w:rPr>
              <w:t>适用情形</w:t>
            </w:r>
          </w:p>
        </w:tc>
        <w:tc>
          <w:tcPr>
            <w:tcW w:w="1975"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ascii="黑体" w:hAnsi="黑体" w:eastAsia="黑体" w:cs="黑体"/>
                <w:snapToGrid w:val="0"/>
                <w:color w:val="000000"/>
                <w:kern w:val="0"/>
                <w:sz w:val="22"/>
                <w:szCs w:val="22"/>
                <w:lang w:val="en-US" w:eastAsia="en-US" w:bidi="ar-SA"/>
              </w:rPr>
            </w:pPr>
            <w:r>
              <w:rPr>
                <w:rFonts w:hint="eastAsia" w:ascii="仿宋_GB2312" w:hAnsi="仿宋_GB2312" w:eastAsia="仿宋_GB2312" w:cs="仿宋_GB2312"/>
                <w:b/>
                <w:bCs/>
                <w:spacing w:val="-1"/>
                <w:sz w:val="22"/>
                <w:szCs w:val="22"/>
                <w:lang w:eastAsia="zh-CN"/>
              </w:rPr>
              <w:t>免</w:t>
            </w:r>
            <w:r>
              <w:rPr>
                <w:rFonts w:hint="eastAsia" w:ascii="仿宋_GB2312" w:hAnsi="仿宋_GB2312" w:eastAsia="仿宋_GB2312" w:cs="仿宋_GB2312"/>
                <w:b/>
                <w:bCs/>
                <w:spacing w:val="-1"/>
                <w:sz w:val="22"/>
                <w:szCs w:val="22"/>
              </w:rPr>
              <w:t>处罚依据</w:t>
            </w:r>
          </w:p>
        </w:tc>
        <w:tc>
          <w:tcPr>
            <w:tcW w:w="1688"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ascii="黑体" w:hAnsi="黑体" w:eastAsia="黑体" w:cs="黑体"/>
                <w:snapToGrid w:val="0"/>
                <w:color w:val="000000"/>
                <w:kern w:val="0"/>
                <w:sz w:val="22"/>
                <w:szCs w:val="22"/>
                <w:lang w:val="en-US" w:eastAsia="en-US" w:bidi="ar-SA"/>
              </w:rPr>
            </w:pPr>
            <w:r>
              <w:rPr>
                <w:rFonts w:hint="eastAsia" w:ascii="仿宋_GB2312" w:hAnsi="仿宋_GB2312" w:eastAsia="仿宋_GB2312" w:cs="仿宋_GB2312"/>
                <w:b/>
                <w:bCs/>
                <w:spacing w:val="-2"/>
                <w:sz w:val="22"/>
                <w:szCs w:val="22"/>
              </w:rPr>
              <w:t>配套监管措施</w:t>
            </w:r>
          </w:p>
        </w:tc>
        <w:tc>
          <w:tcPr>
            <w:tcW w:w="895"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hint="eastAsia" w:ascii="仿宋_GB2312" w:hAnsi="仿宋_GB2312" w:eastAsia="仿宋_GB2312" w:cs="仿宋_GB2312"/>
                <w:b/>
                <w:bCs/>
                <w:spacing w:val="-2"/>
                <w:sz w:val="22"/>
                <w:szCs w:val="22"/>
                <w:lang w:eastAsia="zh-CN"/>
              </w:rPr>
            </w:pPr>
            <w:r>
              <w:rPr>
                <w:rFonts w:hint="eastAsia" w:ascii="仿宋_GB2312" w:hAnsi="仿宋_GB2312" w:eastAsia="仿宋_GB2312" w:cs="仿宋_GB2312"/>
                <w:b/>
                <w:bCs/>
                <w:spacing w:val="-2"/>
                <w:sz w:val="22"/>
                <w:szCs w:val="22"/>
                <w:lang w:eastAsia="zh-CN"/>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2" w:hRule="atLeast"/>
          <w:jc w:val="center"/>
        </w:trPr>
        <w:tc>
          <w:tcPr>
            <w:tcW w:w="874"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center"/>
              <w:rPr>
                <w:rFonts w:hint="default" w:ascii="仿宋_GB2312" w:hAnsi="仿宋_GB2312" w:eastAsia="仿宋_GB2312" w:cs="仿宋_GB2312"/>
                <w:snapToGrid w:val="0"/>
                <w:color w:val="000000"/>
                <w:kern w:val="0"/>
                <w:sz w:val="24"/>
                <w:szCs w:val="24"/>
                <w:lang w:val="en-US" w:eastAsia="zh-CN" w:bidi="ar-SA"/>
              </w:rPr>
            </w:pPr>
            <w:r>
              <w:rPr>
                <w:rFonts w:ascii="仿宋_GB2312" w:hAnsi="Calibri" w:eastAsia="仿宋_GB2312" w:cs="仿宋_GB2312"/>
                <w:i w:val="0"/>
                <w:caps w:val="0"/>
                <w:snapToGrid w:val="0"/>
                <w:color w:val="000000"/>
                <w:spacing w:val="0"/>
                <w:kern w:val="0"/>
                <w:sz w:val="24"/>
                <w:szCs w:val="24"/>
                <w:lang w:val="en-US" w:eastAsia="zh-CN" w:bidi="ar"/>
              </w:rPr>
              <w:t>7</w:t>
            </w:r>
          </w:p>
        </w:tc>
        <w:tc>
          <w:tcPr>
            <w:tcW w:w="244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对未按国家规定书写、译写、拼写标准地名行为的行政处罚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652" w:firstLineChars="0"/>
              <w:jc w:val="left"/>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2323"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《地名管理条例》第十八条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910" w:firstLineChars="0"/>
              <w:jc w:val="left"/>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4337"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1.初次违法，危害后果轻微并及时改正，无违法经营额或者违法所得，可以不予行政处罚；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2.违法行为轻微并及时改正，无违法经营额或者违法所得，没有造成危害</w:t>
            </w:r>
            <w:bookmarkStart w:id="0" w:name="_GoBack"/>
            <w:bookmarkEnd w:id="0"/>
            <w:r>
              <w:rPr>
                <w:rFonts w:hint="eastAsia" w:ascii="仿宋_GB2312" w:hAnsi="Calibri" w:eastAsia="仿宋_GB2312" w:cs="仿宋_GB2312"/>
                <w:i w:val="0"/>
                <w:caps w:val="0"/>
                <w:snapToGrid w:val="0"/>
                <w:color w:val="000000"/>
                <w:spacing w:val="0"/>
                <w:kern w:val="0"/>
                <w:sz w:val="24"/>
                <w:szCs w:val="24"/>
                <w:lang w:val="en-US" w:eastAsia="zh-CN" w:bidi="ar"/>
              </w:rPr>
              <w:t>后果，不予行政处罚。</w:t>
            </w:r>
          </w:p>
        </w:tc>
        <w:tc>
          <w:tcPr>
            <w:tcW w:w="197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《中华人民共和国行政处罚法》第三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十三条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829" w:firstLineChars="0"/>
              <w:jc w:val="center"/>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1688"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加强教育、指导约谈、及时复查整改情况、加强行政检查</w:t>
            </w:r>
          </w:p>
        </w:tc>
        <w:tc>
          <w:tcPr>
            <w:tcW w:w="895" w:type="dxa"/>
            <w:vAlign w:val="center"/>
          </w:tcPr>
          <w:p>
            <w:pPr>
              <w:pStyle w:val="9"/>
              <w:spacing w:before="65" w:line="269" w:lineRule="auto"/>
              <w:ind w:right="109" w:rightChars="0"/>
              <w:rPr>
                <w:rFonts w:hint="eastAsia" w:ascii="仿宋_GB2312" w:hAnsi="仿宋_GB2312" w:eastAsia="仿宋_GB2312" w:cs="仿宋_GB2312"/>
                <w:spacing w:val="7"/>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3" w:hRule="atLeast"/>
          <w:jc w:val="center"/>
        </w:trPr>
        <w:tc>
          <w:tcPr>
            <w:tcW w:w="874"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center"/>
              <w:rPr>
                <w:rFonts w:hint="eastAsia" w:ascii="仿宋_GB2312" w:hAnsi="仿宋_GB2312" w:eastAsia="仿宋_GB2312" w:cs="仿宋_GB2312"/>
                <w:b w:val="0"/>
                <w:bCs w:val="0"/>
                <w:snapToGrid w:val="0"/>
                <w:color w:val="auto"/>
                <w:kern w:val="0"/>
                <w:sz w:val="24"/>
                <w:szCs w:val="24"/>
                <w:u w:val="none"/>
                <w:vertAlign w:val="baseline"/>
                <w:lang w:val="en-US" w:eastAsia="zh-CN" w:bidi="ar-SA"/>
              </w:rPr>
            </w:pPr>
            <w:r>
              <w:rPr>
                <w:rFonts w:ascii="仿宋_GB2312" w:hAnsi="Calibri" w:eastAsia="仿宋_GB2312" w:cs="仿宋_GB2312"/>
                <w:i w:val="0"/>
                <w:caps w:val="0"/>
                <w:snapToGrid w:val="0"/>
                <w:color w:val="000000"/>
                <w:spacing w:val="0"/>
                <w:kern w:val="0"/>
                <w:sz w:val="24"/>
                <w:szCs w:val="24"/>
                <w:lang w:val="en-US" w:eastAsia="zh-CN" w:bidi="ar"/>
              </w:rPr>
              <w:t>8</w:t>
            </w:r>
          </w:p>
        </w:tc>
        <w:tc>
          <w:tcPr>
            <w:tcW w:w="244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对养老机构未建立入院评估制度或者未按照规定开展评估活动行为的行政处罚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652" w:firstLineChars="0"/>
              <w:jc w:val="left"/>
              <w:rPr>
                <w:rFonts w:hint="eastAsia" w:ascii="仿宋_GB2312" w:hAnsi="仿宋_GB2312" w:eastAsia="仿宋_GB2312" w:cs="仿宋_GB2312"/>
                <w:i w:val="0"/>
                <w:snapToGrid w:val="0"/>
                <w:color w:val="000000"/>
                <w:kern w:val="0"/>
                <w:sz w:val="24"/>
                <w:szCs w:val="24"/>
                <w:u w:val="none"/>
                <w:lang w:val="en-US" w:eastAsia="zh-CN" w:bidi="ar"/>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2323"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《养老机构管理办法》第十五条、第四十六条第一款第一项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910" w:firstLineChars="0"/>
              <w:jc w:val="left"/>
              <w:rPr>
                <w:rFonts w:hint="eastAsia" w:ascii="仿宋_GB2312" w:hAnsi="仿宋_GB2312" w:eastAsia="仿宋_GB2312" w:cs="仿宋_GB2312"/>
                <w:snapToGrid w:val="0"/>
                <w:color w:val="auto"/>
                <w:kern w:val="0"/>
                <w:sz w:val="24"/>
                <w:szCs w:val="24"/>
                <w:u w:val="none"/>
                <w:vertAlign w:val="baseline"/>
                <w:lang w:val="en-US" w:eastAsia="zh-CN"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4337"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1.初次违法，危害后果轻微并及时改正，无违法经营额或者违法所得，可以不予行政处罚；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napToGrid w:val="0"/>
                <w:color w:val="auto"/>
                <w:kern w:val="0"/>
                <w:sz w:val="24"/>
                <w:szCs w:val="24"/>
                <w:u w:val="none"/>
                <w:vertAlign w:val="baseline"/>
                <w:lang w:val="en-US" w:eastAsia="zh-CN" w:bidi="ar-SA"/>
              </w:rPr>
            </w:pPr>
            <w:r>
              <w:rPr>
                <w:rFonts w:hint="eastAsia" w:ascii="仿宋_GB2312" w:hAnsi="Calibri" w:eastAsia="仿宋_GB2312" w:cs="仿宋_GB2312"/>
                <w:i w:val="0"/>
                <w:caps w:val="0"/>
                <w:snapToGrid w:val="0"/>
                <w:color w:val="000000"/>
                <w:spacing w:val="0"/>
                <w:kern w:val="0"/>
                <w:sz w:val="24"/>
                <w:szCs w:val="24"/>
                <w:lang w:val="en-US" w:eastAsia="zh-CN" w:bidi="ar"/>
              </w:rPr>
              <w:t>2.违法行为轻微并及时改正，无违法经营额或者违法所得，没有造成危害后果，不予行政处罚。</w:t>
            </w:r>
          </w:p>
        </w:tc>
        <w:tc>
          <w:tcPr>
            <w:tcW w:w="197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《中华人民共和国行政处罚法》第三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十三条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829" w:firstLineChars="0"/>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1688"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napToGrid w:val="0"/>
                <w:color w:val="auto"/>
                <w:kern w:val="2"/>
                <w:sz w:val="24"/>
                <w:szCs w:val="24"/>
                <w:u w:val="none"/>
                <w:vertAlign w:val="baseline"/>
                <w:lang w:val="en-US" w:eastAsia="zh-CN" w:bidi="ar-SA"/>
              </w:rPr>
            </w:pPr>
            <w:r>
              <w:rPr>
                <w:rFonts w:hint="eastAsia" w:ascii="仿宋_GB2312" w:hAnsi="Calibri" w:eastAsia="仿宋_GB2312" w:cs="仿宋_GB2312"/>
                <w:i w:val="0"/>
                <w:caps w:val="0"/>
                <w:snapToGrid w:val="0"/>
                <w:color w:val="000000"/>
                <w:spacing w:val="0"/>
                <w:kern w:val="0"/>
                <w:sz w:val="24"/>
                <w:szCs w:val="24"/>
                <w:lang w:val="en-US" w:eastAsia="zh-CN" w:bidi="ar"/>
              </w:rPr>
              <w:t>加强教育、指导约谈、及时复查整改情况、加强行政检查</w:t>
            </w:r>
          </w:p>
        </w:tc>
        <w:tc>
          <w:tcPr>
            <w:tcW w:w="895" w:type="dxa"/>
            <w:vAlign w:val="center"/>
          </w:tcPr>
          <w:p>
            <w:pPr>
              <w:pStyle w:val="9"/>
              <w:spacing w:before="65" w:line="269" w:lineRule="auto"/>
              <w:ind w:right="109" w:rightChars="0"/>
              <w:rPr>
                <w:rFonts w:hint="eastAsia" w:ascii="仿宋_GB2312" w:hAnsi="仿宋_GB2312" w:eastAsia="仿宋_GB2312" w:cs="仿宋_GB2312"/>
                <w:spacing w:val="7"/>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0" w:hRule="atLeast"/>
          <w:jc w:val="center"/>
        </w:trPr>
        <w:tc>
          <w:tcPr>
            <w:tcW w:w="874"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center"/>
              <w:rPr>
                <w:rFonts w:hint="eastAsia" w:ascii="仿宋_GB2312" w:hAnsi="仿宋_GB2312" w:eastAsia="仿宋_GB2312" w:cs="仿宋_GB2312"/>
                <w:snapToGrid w:val="0"/>
                <w:color w:val="000000"/>
                <w:kern w:val="0"/>
                <w:sz w:val="24"/>
                <w:szCs w:val="24"/>
                <w:lang w:val="en-US" w:eastAsia="zh-CN" w:bidi="ar-SA"/>
              </w:rPr>
            </w:pPr>
            <w:r>
              <w:rPr>
                <w:rFonts w:ascii="仿宋_GB2312" w:hAnsi="Calibri" w:eastAsia="仿宋_GB2312" w:cs="仿宋_GB2312"/>
                <w:i w:val="0"/>
                <w:caps w:val="0"/>
                <w:snapToGrid w:val="0"/>
                <w:color w:val="000000"/>
                <w:spacing w:val="0"/>
                <w:kern w:val="0"/>
                <w:sz w:val="24"/>
                <w:szCs w:val="24"/>
                <w:lang w:val="en-US" w:eastAsia="zh-CN" w:bidi="ar"/>
              </w:rPr>
              <w:t>9</w:t>
            </w:r>
          </w:p>
        </w:tc>
        <w:tc>
          <w:tcPr>
            <w:tcW w:w="244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left"/>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对养老机构未与老年人或者其代理人订立养老服务合同行为的行政处罚</w:t>
            </w:r>
          </w:p>
        </w:tc>
        <w:tc>
          <w:tcPr>
            <w:tcW w:w="2323"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《养老机构管理办法》第十六条、第四十六条第一款第二项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910" w:firstLineChars="0"/>
              <w:jc w:val="left"/>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4337"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1.初次违法，危害后果轻微并及时改正，无违法经营额或者违法所得，可以不予行政处罚；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2.违法行为轻微并及时改正，无违法经营额或者违法所得，没有造成危害后果，不予行政处罚。</w:t>
            </w:r>
          </w:p>
        </w:tc>
        <w:tc>
          <w:tcPr>
            <w:tcW w:w="197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《中华人民共和国行政处罚法》第三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十三条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829" w:firstLineChars="0"/>
              <w:jc w:val="center"/>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1688"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加强教育、指导约谈、及时复查整改情况、加强行政检查</w:t>
            </w:r>
          </w:p>
        </w:tc>
        <w:tc>
          <w:tcPr>
            <w:tcW w:w="895" w:type="dxa"/>
            <w:vAlign w:val="center"/>
          </w:tcPr>
          <w:p>
            <w:pPr>
              <w:pStyle w:val="9"/>
              <w:spacing w:before="65" w:line="269" w:lineRule="auto"/>
              <w:ind w:right="109" w:rightChars="0"/>
              <w:rPr>
                <w:rFonts w:hint="eastAsia" w:ascii="仿宋_GB2312" w:hAnsi="仿宋_GB2312" w:eastAsia="仿宋_GB2312" w:cs="仿宋_GB2312"/>
                <w:spacing w:val="7"/>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jc w:val="center"/>
        </w:trPr>
        <w:tc>
          <w:tcPr>
            <w:tcW w:w="874"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hint="eastAsia" w:ascii="黑体" w:hAnsi="黑体" w:eastAsia="黑体" w:cs="黑体"/>
                <w:snapToGrid w:val="0"/>
                <w:color w:val="000000"/>
                <w:kern w:val="0"/>
                <w:sz w:val="22"/>
                <w:szCs w:val="22"/>
                <w:lang w:val="en-US" w:eastAsia="zh-CN" w:bidi="ar-SA"/>
              </w:rPr>
            </w:pPr>
            <w:r>
              <w:rPr>
                <w:rFonts w:hint="eastAsia" w:ascii="仿宋_GB2312" w:hAnsi="仿宋_GB2312" w:eastAsia="仿宋_GB2312" w:cs="仿宋_GB2312"/>
                <w:b/>
                <w:bCs/>
                <w:spacing w:val="-2"/>
                <w:sz w:val="22"/>
                <w:szCs w:val="22"/>
              </w:rPr>
              <w:t>序号</w:t>
            </w:r>
          </w:p>
        </w:tc>
        <w:tc>
          <w:tcPr>
            <w:tcW w:w="2445"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hint="eastAsia" w:ascii="黑体" w:hAnsi="黑体" w:eastAsia="黑体" w:cs="黑体"/>
                <w:snapToGrid w:val="0"/>
                <w:color w:val="000000"/>
                <w:kern w:val="0"/>
                <w:sz w:val="22"/>
                <w:szCs w:val="22"/>
                <w:lang w:val="en-US" w:eastAsia="en-US" w:bidi="ar-SA"/>
              </w:rPr>
            </w:pPr>
            <w:r>
              <w:rPr>
                <w:rFonts w:hint="eastAsia" w:ascii="仿宋_GB2312" w:hAnsi="仿宋_GB2312" w:eastAsia="仿宋_GB2312" w:cs="仿宋_GB2312"/>
                <w:b/>
                <w:bCs/>
                <w:spacing w:val="-4"/>
                <w:sz w:val="22"/>
                <w:szCs w:val="22"/>
                <w:lang w:eastAsia="zh-CN"/>
              </w:rPr>
              <w:t>违法行为</w:t>
            </w:r>
          </w:p>
        </w:tc>
        <w:tc>
          <w:tcPr>
            <w:tcW w:w="2323"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hint="eastAsia" w:ascii="黑体" w:hAnsi="黑体" w:eastAsia="黑体" w:cs="黑体"/>
                <w:snapToGrid w:val="0"/>
                <w:color w:val="000000"/>
                <w:kern w:val="0"/>
                <w:sz w:val="22"/>
                <w:szCs w:val="22"/>
                <w:lang w:val="en-US" w:eastAsia="en-US" w:bidi="ar-SA"/>
              </w:rPr>
            </w:pPr>
            <w:r>
              <w:rPr>
                <w:rFonts w:hint="eastAsia" w:ascii="仿宋_GB2312" w:hAnsi="仿宋_GB2312" w:eastAsia="仿宋_GB2312" w:cs="仿宋_GB2312"/>
                <w:b/>
                <w:bCs/>
                <w:spacing w:val="-2"/>
                <w:sz w:val="22"/>
                <w:szCs w:val="22"/>
              </w:rPr>
              <w:t>设定依据</w:t>
            </w:r>
          </w:p>
        </w:tc>
        <w:tc>
          <w:tcPr>
            <w:tcW w:w="4337"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hint="eastAsia" w:ascii="黑体" w:hAnsi="黑体" w:eastAsia="黑体" w:cs="黑体"/>
                <w:snapToGrid w:val="0"/>
                <w:color w:val="000000"/>
                <w:kern w:val="0"/>
                <w:sz w:val="22"/>
                <w:szCs w:val="22"/>
                <w:lang w:val="en-US" w:eastAsia="en-US" w:bidi="ar-SA"/>
              </w:rPr>
            </w:pPr>
            <w:r>
              <w:rPr>
                <w:rFonts w:hint="eastAsia" w:ascii="仿宋_GB2312" w:hAnsi="仿宋_GB2312" w:eastAsia="仿宋_GB2312" w:cs="仿宋_GB2312"/>
                <w:b/>
                <w:bCs/>
                <w:spacing w:val="-3"/>
                <w:sz w:val="22"/>
                <w:szCs w:val="22"/>
              </w:rPr>
              <w:t>适用情形</w:t>
            </w:r>
          </w:p>
        </w:tc>
        <w:tc>
          <w:tcPr>
            <w:tcW w:w="1975"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hint="eastAsia" w:ascii="黑体" w:hAnsi="黑体" w:eastAsia="黑体" w:cs="黑体"/>
                <w:snapToGrid w:val="0"/>
                <w:color w:val="000000"/>
                <w:kern w:val="0"/>
                <w:sz w:val="22"/>
                <w:szCs w:val="22"/>
                <w:lang w:val="en-US" w:eastAsia="en-US" w:bidi="ar-SA"/>
              </w:rPr>
            </w:pPr>
            <w:r>
              <w:rPr>
                <w:rFonts w:hint="eastAsia" w:ascii="仿宋_GB2312" w:hAnsi="仿宋_GB2312" w:eastAsia="仿宋_GB2312" w:cs="仿宋_GB2312"/>
                <w:b/>
                <w:bCs/>
                <w:spacing w:val="-1"/>
                <w:sz w:val="22"/>
                <w:szCs w:val="22"/>
                <w:lang w:eastAsia="zh-CN"/>
              </w:rPr>
              <w:t>免</w:t>
            </w:r>
            <w:r>
              <w:rPr>
                <w:rFonts w:hint="eastAsia" w:ascii="仿宋_GB2312" w:hAnsi="仿宋_GB2312" w:eastAsia="仿宋_GB2312" w:cs="仿宋_GB2312"/>
                <w:b/>
                <w:bCs/>
                <w:spacing w:val="-1"/>
                <w:sz w:val="22"/>
                <w:szCs w:val="22"/>
              </w:rPr>
              <w:t>处罚依据</w:t>
            </w:r>
          </w:p>
        </w:tc>
        <w:tc>
          <w:tcPr>
            <w:tcW w:w="1688"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hint="eastAsia" w:ascii="黑体" w:hAnsi="黑体" w:eastAsia="黑体" w:cs="黑体"/>
                <w:snapToGrid w:val="0"/>
                <w:color w:val="000000"/>
                <w:kern w:val="0"/>
                <w:sz w:val="22"/>
                <w:szCs w:val="22"/>
                <w:lang w:val="en-US" w:eastAsia="en-US" w:bidi="ar-SA"/>
              </w:rPr>
            </w:pPr>
            <w:r>
              <w:rPr>
                <w:rFonts w:hint="eastAsia" w:ascii="仿宋_GB2312" w:hAnsi="仿宋_GB2312" w:eastAsia="仿宋_GB2312" w:cs="仿宋_GB2312"/>
                <w:b/>
                <w:bCs/>
                <w:spacing w:val="-2"/>
                <w:sz w:val="22"/>
                <w:szCs w:val="22"/>
              </w:rPr>
              <w:t>配套监管措施</w:t>
            </w:r>
          </w:p>
        </w:tc>
        <w:tc>
          <w:tcPr>
            <w:tcW w:w="895" w:type="dxa"/>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jc w:val="center"/>
              <w:textAlignment w:val="baseline"/>
              <w:rPr>
                <w:rFonts w:hint="eastAsia" w:ascii="仿宋_GB2312" w:hAnsi="仿宋_GB2312" w:eastAsia="仿宋_GB2312" w:cs="仿宋_GB2312"/>
                <w:b/>
                <w:bCs/>
                <w:spacing w:val="-2"/>
                <w:sz w:val="22"/>
                <w:szCs w:val="22"/>
                <w:lang w:eastAsia="zh-CN"/>
              </w:rPr>
            </w:pPr>
            <w:r>
              <w:rPr>
                <w:rFonts w:hint="eastAsia" w:ascii="仿宋_GB2312" w:hAnsi="仿宋_GB2312" w:eastAsia="仿宋_GB2312" w:cs="仿宋_GB2312"/>
                <w:b/>
                <w:bCs/>
                <w:spacing w:val="-2"/>
                <w:sz w:val="22"/>
                <w:szCs w:val="22"/>
                <w:lang w:eastAsia="zh-CN"/>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85" w:hRule="atLeast"/>
          <w:jc w:val="center"/>
        </w:trPr>
        <w:tc>
          <w:tcPr>
            <w:tcW w:w="874"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center"/>
              <w:rPr>
                <w:rFonts w:hint="default" w:ascii="仿宋_GB2312" w:hAnsi="仿宋_GB2312" w:eastAsia="仿宋_GB2312" w:cs="仿宋_GB2312"/>
                <w:snapToGrid w:val="0"/>
                <w:color w:val="000000"/>
                <w:kern w:val="0"/>
                <w:sz w:val="24"/>
                <w:szCs w:val="24"/>
                <w:lang w:val="en-US" w:eastAsia="zh-CN" w:bidi="ar-SA"/>
              </w:rPr>
            </w:pPr>
            <w:r>
              <w:rPr>
                <w:rFonts w:ascii="仿宋_GB2312" w:hAnsi="Calibri" w:eastAsia="仿宋_GB2312" w:cs="仿宋_GB2312"/>
                <w:i w:val="0"/>
                <w:caps w:val="0"/>
                <w:snapToGrid w:val="0"/>
                <w:color w:val="000000"/>
                <w:spacing w:val="0"/>
                <w:kern w:val="0"/>
                <w:sz w:val="24"/>
                <w:szCs w:val="24"/>
                <w:lang w:val="en-US" w:eastAsia="zh-CN" w:bidi="ar"/>
              </w:rPr>
              <w:t>10</w:t>
            </w:r>
          </w:p>
        </w:tc>
        <w:tc>
          <w:tcPr>
            <w:tcW w:w="244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对志愿服务组织不依法记录志愿服务信息或者出具志愿服务记录证明行为的行政处罚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652" w:firstLineChars="0"/>
              <w:jc w:val="center"/>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2323"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《志愿服务条例》第十九条、第三十八条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910" w:firstLineChars="0"/>
              <w:jc w:val="center"/>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4337"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1.初次违法，危害后果轻微并及时改正，无违法经营额或者违法所得，可以不予行政处罚；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2.违法行为轻微并及时改正，无违法经营额或者违法所得，没有造成危害后果，不予行政处罚。</w:t>
            </w:r>
          </w:p>
        </w:tc>
        <w:tc>
          <w:tcPr>
            <w:tcW w:w="197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《中华人民共和国行政处罚法》第三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十三条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829" w:firstLineChars="0"/>
              <w:jc w:val="center"/>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1688"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加强教育、指导约谈、及时复查整改情况、加强行政检查</w:t>
            </w:r>
          </w:p>
        </w:tc>
        <w:tc>
          <w:tcPr>
            <w:tcW w:w="895" w:type="dxa"/>
            <w:vAlign w:val="center"/>
          </w:tcPr>
          <w:p>
            <w:pPr>
              <w:pStyle w:val="9"/>
              <w:spacing w:before="65" w:line="268" w:lineRule="auto"/>
              <w:ind w:right="109" w:rightChars="0"/>
              <w:rPr>
                <w:rFonts w:hint="eastAsia" w:ascii="仿宋_GB2312" w:hAnsi="仿宋_GB2312" w:eastAsia="仿宋_GB2312" w:cs="仿宋_GB2312"/>
                <w:spacing w:val="7"/>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2" w:hRule="atLeast"/>
          <w:jc w:val="center"/>
        </w:trPr>
        <w:tc>
          <w:tcPr>
            <w:tcW w:w="874"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center"/>
              <w:rPr>
                <w:rFonts w:hint="default" w:ascii="仿宋_GB2312" w:hAnsi="仿宋_GB2312" w:eastAsia="仿宋_GB2312" w:cs="仿宋_GB2312"/>
                <w:snapToGrid w:val="0"/>
                <w:color w:val="000000"/>
                <w:kern w:val="0"/>
                <w:sz w:val="24"/>
                <w:szCs w:val="24"/>
                <w:lang w:val="en-US" w:eastAsia="zh-CN" w:bidi="ar-SA"/>
              </w:rPr>
            </w:pPr>
            <w:r>
              <w:rPr>
                <w:rFonts w:ascii="仿宋_GB2312" w:hAnsi="Calibri" w:eastAsia="仿宋_GB2312" w:cs="仿宋_GB2312"/>
                <w:i w:val="0"/>
                <w:caps w:val="0"/>
                <w:snapToGrid w:val="0"/>
                <w:color w:val="000000"/>
                <w:spacing w:val="0"/>
                <w:kern w:val="0"/>
                <w:sz w:val="24"/>
                <w:szCs w:val="24"/>
                <w:lang w:val="en-US" w:eastAsia="zh-CN" w:bidi="ar"/>
              </w:rPr>
              <w:t>11</w:t>
            </w:r>
          </w:p>
        </w:tc>
        <w:tc>
          <w:tcPr>
            <w:tcW w:w="244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对慈善组织不依法向捐赠人开具捐赠票据、不依法向志愿者出具志愿服务记录证明或者不及时主动向捐赠人反馈有关情况的行政处罚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652" w:firstLineChars="0"/>
              <w:jc w:val="center"/>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2323"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《中华人民共和国慈善法》第三十八条、第四十二条第一款、第六十五条、第一百零二条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910" w:firstLineChars="0"/>
              <w:jc w:val="center"/>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4337"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both"/>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1.初次违法，危害后果轻微并及时改正，无违法经营额或者违法所得，可以不予行政处罚；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2.违法行为轻微并及时改正，无违法经营额或者违法所得，没有造成危害后果，不予行政处罚。</w:t>
            </w:r>
          </w:p>
        </w:tc>
        <w:tc>
          <w:tcPr>
            <w:tcW w:w="197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《中华人民共和国行政处罚法》第三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default" w:ascii="Calibri" w:hAnsi="Calibri" w:cs="Calibri"/>
                <w:sz w:val="21"/>
                <w:szCs w:val="21"/>
              </w:rPr>
            </w:pPr>
            <w:r>
              <w:rPr>
                <w:rFonts w:hint="eastAsia" w:ascii="仿宋_GB2312" w:hAnsi="Calibri" w:eastAsia="仿宋_GB2312" w:cs="仿宋_GB2312"/>
                <w:i w:val="0"/>
                <w:caps w:val="0"/>
                <w:snapToGrid w:val="0"/>
                <w:color w:val="000000"/>
                <w:spacing w:val="0"/>
                <w:kern w:val="0"/>
                <w:sz w:val="24"/>
                <w:szCs w:val="24"/>
                <w:lang w:val="en-US" w:eastAsia="zh-CN" w:bidi="ar"/>
              </w:rPr>
              <w:t>十三条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829" w:firstLineChars="0"/>
              <w:jc w:val="center"/>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 </w:t>
            </w:r>
          </w:p>
        </w:tc>
        <w:tc>
          <w:tcPr>
            <w:tcW w:w="1688"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both"/>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Calibri" w:eastAsia="仿宋_GB2312" w:cs="仿宋_GB2312"/>
                <w:i w:val="0"/>
                <w:caps w:val="0"/>
                <w:snapToGrid w:val="0"/>
                <w:color w:val="000000"/>
                <w:spacing w:val="0"/>
                <w:kern w:val="0"/>
                <w:sz w:val="24"/>
                <w:szCs w:val="24"/>
                <w:lang w:val="en-US" w:eastAsia="zh-CN" w:bidi="ar"/>
              </w:rPr>
              <w:t>加强教育、指导约谈、及时复查整改情况、加强行政检查</w:t>
            </w:r>
          </w:p>
        </w:tc>
        <w:tc>
          <w:tcPr>
            <w:tcW w:w="895" w:type="dxa"/>
            <w:vAlign w:val="center"/>
          </w:tcPr>
          <w:p>
            <w:pPr>
              <w:pStyle w:val="9"/>
              <w:spacing w:before="65" w:line="269" w:lineRule="auto"/>
              <w:ind w:right="109" w:rightChars="0"/>
              <w:rPr>
                <w:rFonts w:hint="eastAsia" w:ascii="仿宋_GB2312" w:hAnsi="仿宋_GB2312" w:eastAsia="仿宋_GB2312" w:cs="仿宋_GB2312"/>
                <w:spacing w:val="7"/>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35" w:hRule="atLeast"/>
          <w:jc w:val="center"/>
        </w:trPr>
        <w:tc>
          <w:tcPr>
            <w:tcW w:w="874"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center"/>
              <w:rPr>
                <w:rFonts w:hint="default" w:ascii="仿宋_GB2312" w:hAnsi="Calibri" w:eastAsia="仿宋_GB2312" w:cs="仿宋_GB2312"/>
                <w:i w:val="0"/>
                <w:caps w:val="0"/>
                <w:snapToGrid w:val="0"/>
                <w:color w:val="000000"/>
                <w:spacing w:val="0"/>
                <w:kern w:val="0"/>
                <w:sz w:val="24"/>
                <w:szCs w:val="24"/>
                <w:lang w:val="en-US" w:eastAsia="zh-CN" w:bidi="ar"/>
              </w:rPr>
            </w:pPr>
            <w:r>
              <w:rPr>
                <w:rFonts w:hint="eastAsia" w:ascii="仿宋_GB2312" w:hAnsi="Calibri" w:eastAsia="仿宋_GB2312" w:cs="仿宋_GB2312"/>
                <w:i w:val="0"/>
                <w:caps w:val="0"/>
                <w:snapToGrid w:val="0"/>
                <w:color w:val="000000"/>
                <w:spacing w:val="0"/>
                <w:kern w:val="0"/>
                <w:sz w:val="24"/>
                <w:szCs w:val="24"/>
                <w:lang w:val="en-US" w:eastAsia="zh-CN" w:bidi="ar"/>
              </w:rPr>
              <w:t>12</w:t>
            </w:r>
          </w:p>
        </w:tc>
        <w:tc>
          <w:tcPr>
            <w:tcW w:w="244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left"/>
              <w:rPr>
                <w:rFonts w:hint="eastAsia" w:ascii="仿宋_GB2312" w:hAnsi="Calibri" w:eastAsia="仿宋_GB2312" w:cs="仿宋_GB2312"/>
                <w:i w:val="0"/>
                <w:caps w:val="0"/>
                <w:snapToGrid w:val="0"/>
                <w:color w:val="000000"/>
                <w:spacing w:val="0"/>
                <w:kern w:val="0"/>
                <w:sz w:val="24"/>
                <w:szCs w:val="24"/>
                <w:lang w:val="en-US" w:eastAsia="en-US" w:bidi="ar"/>
              </w:rPr>
            </w:pPr>
            <w:r>
              <w:rPr>
                <w:rFonts w:ascii="仿宋_GB2312" w:hAnsi="Calibri" w:eastAsia="仿宋_GB2312" w:cs="仿宋_GB2312"/>
                <w:i w:val="0"/>
                <w:caps w:val="0"/>
                <w:snapToGrid w:val="0"/>
                <w:color w:val="000000"/>
                <w:spacing w:val="0"/>
                <w:kern w:val="0"/>
                <w:sz w:val="24"/>
                <w:szCs w:val="24"/>
                <w:lang w:val="en-US" w:eastAsia="zh-CN" w:bidi="ar"/>
              </w:rPr>
              <w:t>对采取虚报、隐瞒、伪造等手段，骗取社会救助资金、物资或者服务行为的行政处罚</w:t>
            </w:r>
          </w:p>
        </w:tc>
        <w:tc>
          <w:tcPr>
            <w:tcW w:w="2323"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left"/>
              <w:rPr>
                <w:rFonts w:hint="eastAsia" w:ascii="仿宋_GB2312" w:hAnsi="Calibri" w:eastAsia="仿宋_GB2312" w:cs="仿宋_GB2312"/>
                <w:i w:val="0"/>
                <w:caps w:val="0"/>
                <w:snapToGrid w:val="0"/>
                <w:color w:val="000000"/>
                <w:spacing w:val="0"/>
                <w:kern w:val="0"/>
                <w:sz w:val="24"/>
                <w:szCs w:val="24"/>
                <w:lang w:val="en-US" w:eastAsia="en-US" w:bidi="ar"/>
              </w:rPr>
            </w:pPr>
            <w:r>
              <w:rPr>
                <w:rFonts w:ascii="仿宋_GB2312" w:hAnsi="Calibri" w:eastAsia="仿宋_GB2312" w:cs="仿宋_GB2312"/>
                <w:i w:val="0"/>
                <w:caps w:val="0"/>
                <w:snapToGrid w:val="0"/>
                <w:color w:val="000000"/>
                <w:spacing w:val="0"/>
                <w:kern w:val="0"/>
                <w:sz w:val="24"/>
                <w:szCs w:val="24"/>
                <w:lang w:val="en-US" w:eastAsia="zh-CN" w:bidi="ar"/>
              </w:rPr>
              <w:t>《社会救助暂行办法》第五十八条、第六十八条</w:t>
            </w:r>
          </w:p>
        </w:tc>
        <w:tc>
          <w:tcPr>
            <w:tcW w:w="4337"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left"/>
              <w:rPr>
                <w:rFonts w:hint="eastAsia" w:ascii="仿宋_GB2312" w:hAnsi="Calibri" w:eastAsia="仿宋_GB2312" w:cs="仿宋_GB2312"/>
                <w:i w:val="0"/>
                <w:caps w:val="0"/>
                <w:snapToGrid w:val="0"/>
                <w:color w:val="000000"/>
                <w:spacing w:val="0"/>
                <w:kern w:val="0"/>
                <w:sz w:val="24"/>
                <w:szCs w:val="24"/>
                <w:lang w:val="en-US" w:eastAsia="en-US" w:bidi="ar"/>
              </w:rPr>
            </w:pPr>
            <w:r>
              <w:rPr>
                <w:rFonts w:ascii="仿宋_GB2312" w:hAnsi="Calibri" w:eastAsia="仿宋_GB2312" w:cs="仿宋_GB2312"/>
                <w:i w:val="0"/>
                <w:caps w:val="0"/>
                <w:snapToGrid w:val="0"/>
                <w:color w:val="000000"/>
                <w:spacing w:val="0"/>
                <w:kern w:val="0"/>
                <w:sz w:val="24"/>
                <w:szCs w:val="24"/>
                <w:lang w:val="en-US" w:eastAsia="zh-CN" w:bidi="ar"/>
              </w:rPr>
              <w:t>1.初次违法，危害后果轻微并及时改正， 自行退回或在责令退回期限内退回非法获取的救助资金、物资，可以不予行政处罚；</w:t>
            </w:r>
            <w:r>
              <w:rPr>
                <w:rFonts w:ascii="仿宋_GB2312" w:hAnsi="Calibri" w:eastAsia="仿宋_GB2312" w:cs="仿宋_GB2312"/>
                <w:i w:val="0"/>
                <w:caps w:val="0"/>
                <w:snapToGrid w:val="0"/>
                <w:color w:val="000000"/>
                <w:spacing w:val="0"/>
                <w:kern w:val="0"/>
                <w:sz w:val="24"/>
                <w:szCs w:val="24"/>
                <w:lang w:val="en-US" w:eastAsia="zh-CN" w:bidi="ar"/>
              </w:rPr>
              <w:br w:type="textWrapping"/>
            </w:r>
            <w:r>
              <w:rPr>
                <w:rFonts w:ascii="仿宋_GB2312" w:hAnsi="Calibri" w:eastAsia="仿宋_GB2312" w:cs="仿宋_GB2312"/>
                <w:i w:val="0"/>
                <w:caps w:val="0"/>
                <w:snapToGrid w:val="0"/>
                <w:color w:val="000000"/>
                <w:spacing w:val="0"/>
                <w:kern w:val="0"/>
                <w:sz w:val="24"/>
                <w:szCs w:val="24"/>
                <w:lang w:val="en-US" w:eastAsia="zh-CN" w:bidi="ar"/>
              </w:rPr>
              <w:t>2.违法行为轻微并及时改正，自行退回或在责令退回期限内退回非法获取的救助资金、物资，没有造成危害后果，不予行政处罚。</w:t>
            </w:r>
          </w:p>
        </w:tc>
        <w:tc>
          <w:tcPr>
            <w:tcW w:w="197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center"/>
              <w:rPr>
                <w:rFonts w:hint="eastAsia" w:ascii="仿宋_GB2312" w:hAnsi="Calibri" w:eastAsia="仿宋_GB2312" w:cs="仿宋_GB2312"/>
                <w:i w:val="0"/>
                <w:caps w:val="0"/>
                <w:snapToGrid w:val="0"/>
                <w:color w:val="000000"/>
                <w:spacing w:val="0"/>
                <w:kern w:val="0"/>
                <w:sz w:val="24"/>
                <w:szCs w:val="24"/>
                <w:lang w:val="en-US" w:eastAsia="en-US" w:bidi="ar"/>
              </w:rPr>
            </w:pPr>
            <w:r>
              <w:rPr>
                <w:rFonts w:ascii="仿宋_GB2312" w:hAnsi="Calibri" w:eastAsia="仿宋_GB2312" w:cs="仿宋_GB2312"/>
                <w:i w:val="0"/>
                <w:caps w:val="0"/>
                <w:snapToGrid w:val="0"/>
                <w:color w:val="000000"/>
                <w:spacing w:val="0"/>
                <w:kern w:val="0"/>
                <w:sz w:val="24"/>
                <w:szCs w:val="24"/>
                <w:lang w:val="en-US" w:eastAsia="zh-CN" w:bidi="ar"/>
              </w:rPr>
              <w:t>《中华人民共和国</w:t>
            </w:r>
            <w:r>
              <w:rPr>
                <w:rFonts w:ascii="仿宋_GB2312" w:hAnsi="Calibri" w:eastAsia="仿宋_GB2312" w:cs="仿宋_GB2312"/>
                <w:i w:val="0"/>
                <w:caps w:val="0"/>
                <w:snapToGrid w:val="0"/>
                <w:color w:val="000000"/>
                <w:spacing w:val="0"/>
                <w:kern w:val="0"/>
                <w:sz w:val="24"/>
                <w:szCs w:val="24"/>
                <w:lang w:val="en-US" w:eastAsia="zh-CN" w:bidi="ar"/>
              </w:rPr>
              <w:br w:type="textWrapping"/>
            </w:r>
            <w:r>
              <w:rPr>
                <w:rFonts w:ascii="仿宋_GB2312" w:hAnsi="Calibri" w:eastAsia="仿宋_GB2312" w:cs="仿宋_GB2312"/>
                <w:i w:val="0"/>
                <w:caps w:val="0"/>
                <w:snapToGrid w:val="0"/>
                <w:color w:val="000000"/>
                <w:spacing w:val="0"/>
                <w:kern w:val="0"/>
                <w:sz w:val="24"/>
                <w:szCs w:val="24"/>
                <w:lang w:val="en-US" w:eastAsia="zh-CN" w:bidi="ar"/>
              </w:rPr>
              <w:t>行政处罚法》第三十三条</w:t>
            </w:r>
          </w:p>
        </w:tc>
        <w:tc>
          <w:tcPr>
            <w:tcW w:w="1688"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leftChars="0" w:right="0" w:rightChars="0" w:firstLine="0" w:firstLineChars="0"/>
              <w:jc w:val="left"/>
              <w:rPr>
                <w:rFonts w:hint="eastAsia" w:ascii="仿宋_GB2312" w:hAnsi="Calibri" w:eastAsia="仿宋_GB2312" w:cs="仿宋_GB2312"/>
                <w:i w:val="0"/>
                <w:caps w:val="0"/>
                <w:snapToGrid w:val="0"/>
                <w:color w:val="000000"/>
                <w:spacing w:val="0"/>
                <w:kern w:val="0"/>
                <w:sz w:val="24"/>
                <w:szCs w:val="24"/>
                <w:lang w:val="en-US" w:eastAsia="en-US" w:bidi="ar"/>
              </w:rPr>
            </w:pPr>
            <w:r>
              <w:rPr>
                <w:rFonts w:ascii="仿宋_GB2312" w:hAnsi="Calibri" w:eastAsia="仿宋_GB2312" w:cs="仿宋_GB2312"/>
                <w:i w:val="0"/>
                <w:caps w:val="0"/>
                <w:snapToGrid w:val="0"/>
                <w:color w:val="000000"/>
                <w:spacing w:val="0"/>
                <w:kern w:val="0"/>
                <w:sz w:val="24"/>
                <w:szCs w:val="24"/>
                <w:lang w:val="en-US" w:eastAsia="zh-CN" w:bidi="ar"/>
              </w:rPr>
              <w:t>加强教育、指导约谈、及时复查</w:t>
            </w:r>
            <w:r>
              <w:rPr>
                <w:rFonts w:ascii="仿宋_GB2312" w:hAnsi="Calibri" w:eastAsia="仿宋_GB2312" w:cs="仿宋_GB2312"/>
                <w:i w:val="0"/>
                <w:caps w:val="0"/>
                <w:snapToGrid w:val="0"/>
                <w:color w:val="000000"/>
                <w:spacing w:val="0"/>
                <w:kern w:val="0"/>
                <w:sz w:val="24"/>
                <w:szCs w:val="24"/>
                <w:lang w:val="en-US" w:eastAsia="zh-CN" w:bidi="ar"/>
              </w:rPr>
              <w:br w:type="textWrapping"/>
            </w:r>
            <w:r>
              <w:rPr>
                <w:rFonts w:ascii="仿宋_GB2312" w:hAnsi="Calibri" w:eastAsia="仿宋_GB2312" w:cs="仿宋_GB2312"/>
                <w:i w:val="0"/>
                <w:caps w:val="0"/>
                <w:snapToGrid w:val="0"/>
                <w:color w:val="000000"/>
                <w:spacing w:val="0"/>
                <w:kern w:val="0"/>
                <w:sz w:val="24"/>
                <w:szCs w:val="24"/>
                <w:lang w:val="en-US" w:eastAsia="zh-CN" w:bidi="ar"/>
              </w:rPr>
              <w:t>整改情况、加强行政检查</w:t>
            </w:r>
          </w:p>
        </w:tc>
        <w:tc>
          <w:tcPr>
            <w:tcW w:w="895" w:type="dxa"/>
            <w:vAlign w:val="center"/>
          </w:tcPr>
          <w:p>
            <w:pPr>
              <w:pStyle w:val="9"/>
              <w:spacing w:before="65" w:line="268" w:lineRule="auto"/>
              <w:ind w:right="109" w:rightChars="0"/>
              <w:rPr>
                <w:rFonts w:hint="eastAsia" w:ascii="仿宋_GB2312" w:hAnsi="仿宋_GB2312" w:eastAsia="仿宋_GB2312" w:cs="仿宋_GB2312"/>
                <w:spacing w:val="7"/>
                <w:sz w:val="24"/>
                <w:szCs w:val="24"/>
              </w:rPr>
            </w:pPr>
          </w:p>
        </w:tc>
      </w:tr>
    </w:tbl>
    <w:p>
      <w:pPr>
        <w:rPr>
          <w:rFonts w:ascii="Arial"/>
          <w:sz w:val="21"/>
        </w:rPr>
      </w:pPr>
    </w:p>
    <w:sectPr>
      <w:footerReference r:id="rId3" w:type="default"/>
      <w:pgSz w:w="16848" w:h="11910"/>
      <w:pgMar w:top="1012" w:right="1088" w:bottom="1320" w:left="1079" w:header="0" w:footer="1042" w:gutter="0"/>
      <w:pgNumType w:fmt="numberInDash"/>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FangSong">
    <w:altName w:val="Courier New"/>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6" w:lineRule="auto"/>
      <w:ind w:left="13487"/>
      <w:rPr>
        <w:rFonts w:ascii="宋体" w:hAnsi="宋体" w:eastAsia="宋体" w:cs="宋体"/>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useAltKinsokuLineBreakRules/>
    <w:compatSetting w:name="compatibilityMode" w:uri="http://schemas.microsoft.com/office/word" w:val="14"/>
  </w:compat>
  <w:rsids>
    <w:rsidRoot w:val="00000000"/>
    <w:rsid w:val="0133513D"/>
    <w:rsid w:val="04245D08"/>
    <w:rsid w:val="06790C38"/>
    <w:rsid w:val="0D152EFA"/>
    <w:rsid w:val="0D8358B8"/>
    <w:rsid w:val="0E513DB1"/>
    <w:rsid w:val="0FD06939"/>
    <w:rsid w:val="14061792"/>
    <w:rsid w:val="16E74B91"/>
    <w:rsid w:val="18435E2C"/>
    <w:rsid w:val="1FAF5A9B"/>
    <w:rsid w:val="21731B94"/>
    <w:rsid w:val="22410B17"/>
    <w:rsid w:val="26095AEC"/>
    <w:rsid w:val="28DE49FE"/>
    <w:rsid w:val="33DC68C2"/>
    <w:rsid w:val="36735FF7"/>
    <w:rsid w:val="3B0046C5"/>
    <w:rsid w:val="41CB78AC"/>
    <w:rsid w:val="427F2824"/>
    <w:rsid w:val="464620C2"/>
    <w:rsid w:val="4FCC31F1"/>
    <w:rsid w:val="5090401B"/>
    <w:rsid w:val="513A7BA7"/>
    <w:rsid w:val="5A314087"/>
    <w:rsid w:val="5F180FD8"/>
    <w:rsid w:val="60B630CB"/>
    <w:rsid w:val="61AC31BD"/>
    <w:rsid w:val="6A815B5A"/>
    <w:rsid w:val="6AD02D5E"/>
    <w:rsid w:val="6D7F5969"/>
    <w:rsid w:val="6DE67699"/>
    <w:rsid w:val="6FC4555D"/>
    <w:rsid w:val="70346F40"/>
    <w:rsid w:val="76C73A49"/>
    <w:rsid w:val="777316D2"/>
    <w:rsid w:val="79E93440"/>
    <w:rsid w:val="7FD8644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FangSong" w:hAnsi="FangSong" w:eastAsia="FangSong" w:cs="FangSong"/>
      <w:sz w:val="20"/>
      <w:szCs w:val="20"/>
      <w:lang w:val="en-US" w:eastAsia="en-US" w:bidi="ar-SA"/>
    </w:rPr>
  </w:style>
  <w:style w:type="character" w:customStyle="1" w:styleId="10">
    <w:name w:val="font31"/>
    <w:basedOn w:val="7"/>
    <w:uiPriority w:val="0"/>
    <w:rPr>
      <w:rFonts w:hint="default" w:ascii="Arial" w:hAnsi="Arial" w:cs="Arial"/>
      <w:color w:val="000000"/>
      <w:sz w:val="20"/>
      <w:szCs w:val="20"/>
      <w:u w:val="none"/>
    </w:rPr>
  </w:style>
  <w:style w:type="character" w:customStyle="1" w:styleId="11">
    <w:name w:val="font11"/>
    <w:basedOn w:val="7"/>
    <w:uiPriority w:val="0"/>
    <w:rPr>
      <w:rFonts w:ascii="FangSong" w:hAnsi="FangSong" w:eastAsia="FangSong" w:cs="FangSong"/>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44</TotalTime>
  <ScaleCrop>false</ScaleCrop>
  <LinksUpToDate>false</LinksUpToDate>
  <Application>WPS Office_11.1.0.10228_F1E327BC-269C-435d-A152-05C5408002CA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2023-08-08T07:44:00Z</dcterms:created>
  <dc:creator>子非鱼</dc:creator>
  <cp:lastModifiedBy>子非鱼</cp:lastModifiedBy>
  <cp:lastPrinted>2023-08-29T01:27:21Z</cp:lastPrinted>
  <dcterms:modified xsi:type="dcterms:W3CDTF">2023-08-29T01:28:32Z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2023-07-28T16:07:03Z</vt:filetime>
  </property>
  <property fmtid="{D5CDD505-2E9C-101B-9397-08002B2CF9AE}" pid="4" name="UsrData">
    <vt:lpwstr>64c3771bfc8ffb001f81b0aa</vt:lpwstr>
  </property>
  <property fmtid="{D5CDD505-2E9C-101B-9397-08002B2CF9AE}" pid="5" name="KSOProductBuildVer">
    <vt:lpwstr>2052-11.1.0.10228</vt:lpwstr>
  </property>
</Properties>
</file>