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right="0" w:firstLine="321" w:firstLineChars="100"/>
        <w:jc w:val="both"/>
        <w:rPr>
          <w:rFonts w:hint="eastAsia" w:ascii="微软雅黑" w:hAnsi="微软雅黑" w:eastAsia="微软雅黑" w:cs="微软雅黑"/>
          <w:b/>
          <w:bCs/>
          <w:i w:val="0"/>
          <w:iCs w:val="0"/>
          <w:caps w:val="0"/>
          <w:color w:val="333333"/>
          <w:spacing w:val="0"/>
          <w:sz w:val="32"/>
          <w:szCs w:val="32"/>
        </w:rPr>
      </w:pPr>
      <w:r>
        <w:rPr>
          <w:rFonts w:ascii="仿宋" w:hAnsi="仿宋" w:eastAsia="仿宋" w:cs="仿宋"/>
          <w:b/>
          <w:bCs/>
          <w:i w:val="0"/>
          <w:iCs w:val="0"/>
          <w:caps w:val="0"/>
          <w:color w:val="333333"/>
          <w:spacing w:val="0"/>
          <w:kern w:val="0"/>
          <w:sz w:val="32"/>
          <w:szCs w:val="32"/>
          <w:shd w:val="clear" w:fill="FFFFFF"/>
          <w:lang w:val="en-US" w:eastAsia="zh-CN" w:bidi="ar"/>
        </w:rPr>
        <w:t>大余县应急管理局</w:t>
      </w:r>
      <w:r>
        <w:rPr>
          <w:rFonts w:hint="eastAsia" w:ascii="仿宋" w:hAnsi="仿宋" w:eastAsia="仿宋" w:cs="仿宋"/>
          <w:b/>
          <w:bCs/>
          <w:i w:val="0"/>
          <w:iCs w:val="0"/>
          <w:caps w:val="0"/>
          <w:color w:val="333333"/>
          <w:spacing w:val="0"/>
          <w:kern w:val="0"/>
          <w:sz w:val="32"/>
          <w:szCs w:val="32"/>
          <w:shd w:val="clear" w:fill="FFFFFF"/>
          <w:lang w:val="en-US" w:eastAsia="zh-CN" w:bidi="ar"/>
        </w:rPr>
        <w:t>2023年1-8月份行政处罚信息公示 </w:t>
      </w:r>
    </w:p>
    <w:tbl>
      <w:tblPr>
        <w:tblStyle w:val="2"/>
        <w:tblW w:w="0" w:type="auto"/>
        <w:tblInd w:w="-13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Layout w:type="autofit"/>
        <w:tblCellMar>
          <w:top w:w="15" w:type="dxa"/>
          <w:left w:w="15" w:type="dxa"/>
          <w:bottom w:w="15" w:type="dxa"/>
          <w:right w:w="15" w:type="dxa"/>
        </w:tblCellMar>
      </w:tblPr>
      <w:tblGrid>
        <w:gridCol w:w="802"/>
        <w:gridCol w:w="1422"/>
        <w:gridCol w:w="1460"/>
        <w:gridCol w:w="1277"/>
        <w:gridCol w:w="1617"/>
        <w:gridCol w:w="1155"/>
        <w:gridCol w:w="9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FFFFFF"/>
          <w:tblCellMar>
            <w:top w:w="15" w:type="dxa"/>
            <w:left w:w="15" w:type="dxa"/>
            <w:bottom w:w="15" w:type="dxa"/>
            <w:right w:w="15" w:type="dxa"/>
          </w:tblCellMar>
        </w:tblPrEx>
        <w:trPr>
          <w:trHeight w:val="972" w:hRule="atLeast"/>
        </w:trPr>
        <w:tc>
          <w:tcPr>
            <w:tcW w:w="80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_GB2312" w:hAnsi="微软雅黑" w:eastAsia="仿宋_GB2312" w:cs="仿宋_GB2312"/>
                <w:i w:val="0"/>
                <w:iCs w:val="0"/>
                <w:caps w:val="0"/>
                <w:color w:val="333333"/>
                <w:spacing w:val="0"/>
                <w:kern w:val="0"/>
                <w:sz w:val="24"/>
                <w:szCs w:val="24"/>
                <w:lang w:val="en-US" w:eastAsia="zh-CN" w:bidi="ar"/>
              </w:rPr>
              <w:t>序号</w:t>
            </w:r>
          </w:p>
        </w:tc>
        <w:tc>
          <w:tcPr>
            <w:tcW w:w="142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pPr>
            <w:r>
              <w:rPr>
                <w:rFonts w:hint="eastAsia" w:ascii="仿宋_GB2312" w:hAnsi="微软雅黑" w:eastAsia="仿宋_GB2312" w:cs="仿宋_GB2312"/>
                <w:i w:val="0"/>
                <w:iCs w:val="0"/>
                <w:caps w:val="0"/>
                <w:color w:val="333333"/>
                <w:spacing w:val="0"/>
                <w:kern w:val="0"/>
                <w:sz w:val="24"/>
                <w:szCs w:val="24"/>
                <w:lang w:val="en-US" w:eastAsia="zh-CN" w:bidi="ar"/>
              </w:rPr>
              <w:t>行政相对人名称</w:t>
            </w:r>
          </w:p>
        </w:tc>
        <w:tc>
          <w:tcPr>
            <w:tcW w:w="1460"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pPr>
            <w:r>
              <w:rPr>
                <w:rFonts w:hint="eastAsia" w:ascii="仿宋_GB2312" w:hAnsi="微软雅黑" w:eastAsia="仿宋_GB2312" w:cs="仿宋_GB2312"/>
                <w:i w:val="0"/>
                <w:iCs w:val="0"/>
                <w:caps w:val="0"/>
                <w:color w:val="333333"/>
                <w:spacing w:val="0"/>
                <w:kern w:val="0"/>
                <w:sz w:val="24"/>
                <w:szCs w:val="24"/>
                <w:lang w:val="en-US" w:eastAsia="zh-CN" w:bidi="ar"/>
              </w:rPr>
              <w:t>立案日期</w:t>
            </w:r>
          </w:p>
        </w:tc>
        <w:tc>
          <w:tcPr>
            <w:tcW w:w="127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pPr>
            <w:r>
              <w:rPr>
                <w:rFonts w:hint="eastAsia" w:ascii="仿宋_GB2312" w:hAnsi="微软雅黑" w:eastAsia="仿宋_GB2312" w:cs="仿宋_GB2312"/>
                <w:i w:val="0"/>
                <w:iCs w:val="0"/>
                <w:caps w:val="0"/>
                <w:color w:val="333333"/>
                <w:spacing w:val="0"/>
                <w:kern w:val="0"/>
                <w:sz w:val="24"/>
                <w:szCs w:val="24"/>
                <w:lang w:val="en-US" w:eastAsia="zh-CN" w:bidi="ar"/>
              </w:rPr>
              <w:t>案由</w:t>
            </w:r>
          </w:p>
        </w:tc>
        <w:tc>
          <w:tcPr>
            <w:tcW w:w="161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_GB2312" w:hAnsi="微软雅黑" w:eastAsia="仿宋_GB2312" w:cs="仿宋_GB2312"/>
                <w:i w:val="0"/>
                <w:iCs w:val="0"/>
                <w:caps w:val="0"/>
                <w:color w:val="333333"/>
                <w:spacing w:val="0"/>
                <w:kern w:val="0"/>
                <w:sz w:val="24"/>
                <w:szCs w:val="24"/>
                <w:lang w:val="en-US" w:eastAsia="zh-CN" w:bidi="ar"/>
              </w:rPr>
              <w:t>处罚依据</w:t>
            </w:r>
          </w:p>
        </w:tc>
        <w:tc>
          <w:tcPr>
            <w:tcW w:w="1155"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_GB2312" w:hAnsi="微软雅黑" w:eastAsia="仿宋_GB2312" w:cs="仿宋_GB2312"/>
                <w:i w:val="0"/>
                <w:iCs w:val="0"/>
                <w:caps w:val="0"/>
                <w:color w:val="333333"/>
                <w:spacing w:val="0"/>
                <w:kern w:val="0"/>
                <w:sz w:val="24"/>
                <w:szCs w:val="24"/>
                <w:lang w:val="en-US" w:eastAsia="zh-CN" w:bidi="ar"/>
              </w:rPr>
              <w:t>处罚结果</w:t>
            </w:r>
          </w:p>
        </w:tc>
        <w:tc>
          <w:tcPr>
            <w:tcW w:w="921"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pPr>
            <w:r>
              <w:rPr>
                <w:rFonts w:hint="eastAsia" w:ascii="仿宋_GB2312" w:hAnsi="微软雅黑" w:eastAsia="仿宋_GB2312" w:cs="仿宋_GB2312"/>
                <w:i w:val="0"/>
                <w:iCs w:val="0"/>
                <w:caps w:val="0"/>
                <w:color w:val="333333"/>
                <w:spacing w:val="0"/>
                <w:kern w:val="0"/>
                <w:sz w:val="24"/>
                <w:szCs w:val="24"/>
                <w:lang w:val="en-US" w:eastAsia="zh-CN" w:bidi="ar"/>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1432" w:hRule="atLeast"/>
        </w:trPr>
        <w:tc>
          <w:tcPr>
            <w:tcW w:w="80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1</w:t>
            </w:r>
          </w:p>
        </w:tc>
        <w:tc>
          <w:tcPr>
            <w:tcW w:w="142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赣州威尔达化工贸易有限公司</w:t>
            </w:r>
          </w:p>
        </w:tc>
        <w:tc>
          <w:tcPr>
            <w:tcW w:w="1460"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2023年4月3日</w:t>
            </w:r>
          </w:p>
        </w:tc>
        <w:tc>
          <w:tcPr>
            <w:tcW w:w="127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赣州威尔达化工贸易有限公司危险化学品经营许可证注册地址与实际经营地址不符案</w:t>
            </w:r>
          </w:p>
        </w:tc>
        <w:tc>
          <w:tcPr>
            <w:tcW w:w="161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《危险化学品经营许可证管理办法》第三十三条</w:t>
            </w:r>
          </w:p>
        </w:tc>
        <w:tc>
          <w:tcPr>
            <w:tcW w:w="1155"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对当事人处人民币肆仟玖佰元罚款的行政处罚</w:t>
            </w:r>
          </w:p>
        </w:tc>
        <w:tc>
          <w:tcPr>
            <w:tcW w:w="921"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90" w:hRule="atLeast"/>
        </w:trPr>
        <w:tc>
          <w:tcPr>
            <w:tcW w:w="80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2</w:t>
            </w:r>
          </w:p>
        </w:tc>
        <w:tc>
          <w:tcPr>
            <w:tcW w:w="142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四川省筑祥建设工程有限公司</w:t>
            </w:r>
          </w:p>
        </w:tc>
        <w:tc>
          <w:tcPr>
            <w:tcW w:w="1460"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2023年5月26日</w:t>
            </w:r>
          </w:p>
        </w:tc>
        <w:tc>
          <w:tcPr>
            <w:tcW w:w="127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四川省筑祥建设工程有限公司未按规定对从业人员进行安全生产教育和培训及未建立事故隐患排查治理制度案</w:t>
            </w:r>
          </w:p>
        </w:tc>
        <w:tc>
          <w:tcPr>
            <w:tcW w:w="161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《中华人民共和国安全生产法》第九十七条第（三项）与第一百零一条第（五项）、《江西省应急管理部门安全生产行政处罚裁量适用细则（2022）年版》</w:t>
            </w:r>
          </w:p>
        </w:tc>
        <w:tc>
          <w:tcPr>
            <w:tcW w:w="1155"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对当事人处人民币壹拾肆万捌仟元罚款的行政处罚</w:t>
            </w:r>
          </w:p>
        </w:tc>
        <w:tc>
          <w:tcPr>
            <w:tcW w:w="921"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1562" w:hRule="atLeast"/>
        </w:trPr>
        <w:tc>
          <w:tcPr>
            <w:tcW w:w="80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default"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3</w:t>
            </w:r>
          </w:p>
        </w:tc>
        <w:tc>
          <w:tcPr>
            <w:tcW w:w="142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江西华宏新能源科技有限公司</w:t>
            </w:r>
          </w:p>
        </w:tc>
        <w:tc>
          <w:tcPr>
            <w:tcW w:w="1460"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default"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2023年8月11日</w:t>
            </w:r>
          </w:p>
        </w:tc>
        <w:tc>
          <w:tcPr>
            <w:tcW w:w="127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江西华宏新能源科技有</w:t>
            </w:r>
            <w:bookmarkStart w:id="0" w:name="_GoBack"/>
            <w:bookmarkEnd w:id="0"/>
            <w:r>
              <w:rPr>
                <w:rFonts w:hint="eastAsia" w:ascii="仿宋_GB2312" w:hAnsi="微软雅黑" w:eastAsia="仿宋_GB2312" w:cs="仿宋_GB2312"/>
                <w:i w:val="0"/>
                <w:iCs w:val="0"/>
                <w:caps w:val="0"/>
                <w:color w:val="333333"/>
                <w:spacing w:val="0"/>
                <w:kern w:val="0"/>
                <w:sz w:val="22"/>
                <w:szCs w:val="22"/>
                <w:lang w:val="en-US" w:eastAsia="zh-CN" w:bidi="ar"/>
              </w:rPr>
              <w:t>限公司未采取措施消除事故隐患案</w:t>
            </w:r>
          </w:p>
        </w:tc>
        <w:tc>
          <w:tcPr>
            <w:tcW w:w="161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《中华人民共和国安全生产法》第一百零二条、《江西省应急管理部门安全生产行政处罚裁量适用细则（2022）年版》</w:t>
            </w:r>
          </w:p>
        </w:tc>
        <w:tc>
          <w:tcPr>
            <w:tcW w:w="1155"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对当事人处人民币贰万伍仟元罚款的行政处罚</w:t>
            </w:r>
          </w:p>
        </w:tc>
        <w:tc>
          <w:tcPr>
            <w:tcW w:w="921"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5" w:type="dxa"/>
            <w:left w:w="15" w:type="dxa"/>
            <w:bottom w:w="15" w:type="dxa"/>
            <w:right w:w="15" w:type="dxa"/>
          </w:tblCellMar>
        </w:tblPrEx>
        <w:trPr>
          <w:trHeight w:val="1577" w:hRule="atLeast"/>
        </w:trPr>
        <w:tc>
          <w:tcPr>
            <w:tcW w:w="80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default"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4</w:t>
            </w:r>
          </w:p>
        </w:tc>
        <w:tc>
          <w:tcPr>
            <w:tcW w:w="1422"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大余县万事达矿山机械有限公司</w:t>
            </w:r>
          </w:p>
        </w:tc>
        <w:tc>
          <w:tcPr>
            <w:tcW w:w="1460"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2023年8月28日</w:t>
            </w:r>
          </w:p>
        </w:tc>
        <w:tc>
          <w:tcPr>
            <w:tcW w:w="127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大余县万事达矿山机械有限公司特种作业人员未持证上岗案</w:t>
            </w:r>
          </w:p>
        </w:tc>
        <w:tc>
          <w:tcPr>
            <w:tcW w:w="1617"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《中华人民共和国安全生产法》第九十七条第（七）项</w:t>
            </w:r>
          </w:p>
        </w:tc>
        <w:tc>
          <w:tcPr>
            <w:tcW w:w="1155"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r>
              <w:rPr>
                <w:rFonts w:hint="eastAsia" w:ascii="仿宋_GB2312" w:hAnsi="微软雅黑" w:eastAsia="仿宋_GB2312" w:cs="仿宋_GB2312"/>
                <w:i w:val="0"/>
                <w:iCs w:val="0"/>
                <w:caps w:val="0"/>
                <w:color w:val="333333"/>
                <w:spacing w:val="0"/>
                <w:kern w:val="0"/>
                <w:sz w:val="22"/>
                <w:szCs w:val="22"/>
                <w:lang w:val="en-US" w:eastAsia="zh-CN" w:bidi="ar"/>
              </w:rPr>
              <w:t>对当事人处人民币壹万元罚款的行政处罚</w:t>
            </w:r>
          </w:p>
        </w:tc>
        <w:tc>
          <w:tcPr>
            <w:tcW w:w="921" w:type="dxa"/>
            <w:tcBorders>
              <w:tl2br w:val="nil"/>
              <w:tr2bl w:val="nil"/>
            </w:tcBorders>
            <w:shd w:val="clear" w:color="auto" w:fill="FFFFFF"/>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2"/>
                <w:szCs w:val="22"/>
                <w:lang w:val="en-US" w:eastAsia="zh-CN" w:bidi="ar"/>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仿宋_GB2312" w:hAnsi="微软雅黑" w:eastAsia="仿宋_GB2312" w:cs="仿宋_GB2312"/>
          <w:i w:val="0"/>
          <w:iCs w:val="0"/>
          <w:caps w:val="0"/>
          <w:color w:val="333333"/>
          <w:spacing w:val="0"/>
          <w:kern w:val="0"/>
          <w:sz w:val="24"/>
          <w:szCs w:val="24"/>
          <w:lang w:val="en-US" w:eastAsia="zh-CN" w:bidi="ar"/>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2NTU2OTQ2YmVmZjQ3OGQwM2RmYWQ1NzdkYTA0MDgifQ=="/>
  </w:docVars>
  <w:rsids>
    <w:rsidRoot w:val="019E7E5C"/>
    <w:rsid w:val="019E7E5C"/>
    <w:rsid w:val="109C04F1"/>
    <w:rsid w:val="12CE555B"/>
    <w:rsid w:val="1FF00B97"/>
    <w:rsid w:val="211E5C02"/>
    <w:rsid w:val="28E54AB1"/>
    <w:rsid w:val="2AFE060C"/>
    <w:rsid w:val="31684A32"/>
    <w:rsid w:val="4AEA6060"/>
    <w:rsid w:val="5C124D16"/>
    <w:rsid w:val="66A575B3"/>
    <w:rsid w:val="69726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2023-10-19T07:22:00Z</dcterms:created>
  <dc:creator>朱宏章</dc:creator>
  <cp:lastModifiedBy>小王同学</cp:lastModifiedBy>
  <dcterms:modified xsi:type="dcterms:W3CDTF">2023-10-19T09:16:03Z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7219407A104E4276B160BF7361444C87_11</vt:lpwstr>
  </property>
</Properties>
</file>