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5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04"/>
        <w:gridCol w:w="1064"/>
        <w:gridCol w:w="2918"/>
        <w:gridCol w:w="2296"/>
        <w:gridCol w:w="1826"/>
        <w:gridCol w:w="4114"/>
        <w:gridCol w:w="113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780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执法类别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执法决定事项名称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依据</w:t>
            </w:r>
          </w:p>
        </w:tc>
        <w:tc>
          <w:tcPr>
            <w:tcW w:w="1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审核需提交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的材料</w:t>
            </w:r>
          </w:p>
        </w:tc>
        <w:tc>
          <w:tcPr>
            <w:tcW w:w="4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审核要点</w:t>
            </w: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35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行政处罚事项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对公民处以2万元以上的罚款，对法人或者其他组织处以5万元以上的罚款的；没收违法所得5万元以上的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《中华人民共和国安全生产法》第九十二条至第一百一十四条</w:t>
            </w:r>
          </w:p>
        </w:tc>
        <w:tc>
          <w:tcPr>
            <w:tcW w:w="182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1、现场检查记录、询问笔录等执法文书；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2、相关证据资料；案件调查终结报告；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3、拟制的行政处罚决定类文书；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4、《重大行政执法决定法制审核申请表》等材料。</w:t>
            </w:r>
          </w:p>
        </w:tc>
        <w:tc>
          <w:tcPr>
            <w:tcW w:w="411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（一）行政执法主体是否合法，行政执法人员是否具备执法资格；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（二）违法事实是否清楚，证据是否确凿、充分，材料是否齐全；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（三）适用法律、法规、规章是否准确，执行裁量基准是否适当；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（四）程序是否合法；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（五）是否有超越本机关职权范围或滥用职权的情形；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（六）行政执法文书是否规范、齐备；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（七）违法行为是否涉嫌犯罪需要移送司法机关；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（八）其他依法应当审核的事项。</w:t>
            </w: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60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责令停产停业整顿、责令停产停业、责令停止建设、责令停止施工的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《中华人民共和国安全生产法》第九十二条至第一百一十四条</w:t>
            </w:r>
          </w:p>
        </w:tc>
        <w:tc>
          <w:tcPr>
            <w:tcW w:w="182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11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245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吊销有关许可证、撤销有关执业资格、岗位证书的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《中华人民共和国安全生产法》第九十二条、第九十六条、 第一百一十三条</w:t>
            </w:r>
          </w:p>
        </w:tc>
        <w:tc>
          <w:tcPr>
            <w:tcW w:w="182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11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726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6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行政强制事项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查封经营场所、扣押许可证、执照、取缔、关闭等造成法人或者其他组织的生产经营活动工作难以正常进行的；拍卖或者依法处理查封、扣押的场所、设施或者财物的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《中华人民共和国安全生产法》第六十五条、第一百一十三条</w:t>
            </w:r>
          </w:p>
        </w:tc>
        <w:tc>
          <w:tcPr>
            <w:tcW w:w="1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1、现场检查记录、询问笔录等执法文书；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2、相关证据资料；案件调查终结报告；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3、拟制的查封扣押类文书；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4、《重大行政执法决定法制审核申请表》等材料。</w:t>
            </w:r>
          </w:p>
        </w:tc>
        <w:tc>
          <w:tcPr>
            <w:tcW w:w="411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（一）行政执法机关主体是否合法，行政执法人员是否具备执法资格；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（二）主要事实是否清楚，证据是否确凿、充分；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（三）适用法律、法规、规章是否准确；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（四）是否符合采取强制措施的条件，程序是否合法，是否充分保障行政相对人权利；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（五）是否有超越本机关职权范围或滥用职权的情形；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（六）行政执法文书是否规范、齐备；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（七）其他依法应当审核的事项。</w:t>
            </w: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21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通知有关单位停止供电、停止供应民用爆炸物品等措施，强制生产经营单位履行决定的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《中华人民共和国安全生产法》第七十条</w:t>
            </w:r>
          </w:p>
        </w:tc>
        <w:tc>
          <w:tcPr>
            <w:tcW w:w="1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1、现场检查记录、询问笔录等执法文书；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2、相关证据资料；案件调查终结报告；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3、拟制的停止供电、停止供应民用爆炸物品类文书；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4、《重大行政执法决定法制审核申请表》等材料。</w:t>
            </w:r>
          </w:p>
        </w:tc>
        <w:tc>
          <w:tcPr>
            <w:tcW w:w="411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671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申请人民法院强制执行的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《中华人民共和国行政强制法》第四十六条、第五十三条、第五十四条</w:t>
            </w:r>
          </w:p>
        </w:tc>
        <w:tc>
          <w:tcPr>
            <w:tcW w:w="1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1、行政决定书及作出决定的事实、理由和依据；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2、当事人的意见及行政机关催告情况说明；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3、申请强制执行标的情况说明；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4、拟制的强制执行申请书；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5、《重大行政执法决定法制审核申请表》等材料。</w:t>
            </w:r>
          </w:p>
        </w:tc>
        <w:tc>
          <w:tcPr>
            <w:tcW w:w="4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（一）在法定期限内，当事人是否已申请行政复议或者提起行政诉讼；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（二）是否已按规定时限下达《行政强制执行事先催告书》；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（三）是否有查封、扣押的财物可依法拍卖抵缴罚款；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（四）申请强制执行是否符合其它法定条件。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（五）其他依法应当审核的事项。</w:t>
            </w: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251" w:hRule="atLeast"/>
        </w:trPr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行政许可事项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法律、法规、规章规定实施行政许可应当听证的事项；执法人员认为需要听证且涉及公共利益的事项；行政许可直接涉及申请人与他人之间重大利益关系的</w:t>
            </w:r>
          </w:p>
        </w:tc>
        <w:tc>
          <w:tcPr>
            <w:tcW w:w="2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《中华人民共和国行政许可法》第六十九条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《中华人民共和国安全生产法》第六十条</w:t>
            </w:r>
          </w:p>
        </w:tc>
        <w:tc>
          <w:tcPr>
            <w:tcW w:w="1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1、作出（不予、准予、撤销）行政许可决定的事实、理由和依据；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2、当事人的意见；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3、涉及公共利益或者他人利益的证据；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4、《重大行政执法决定法制审核申请表》等材料。</w:t>
            </w:r>
          </w:p>
        </w:tc>
        <w:tc>
          <w:tcPr>
            <w:tcW w:w="4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（一）作出许可决定的依据是否准确；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（二）作出许可的程序是否合法；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（三）作出许可的材料是否齐全；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（四）作出的许可决定是否对公共利益造成损害；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（五）作出的许可决定是否对他人利益造成损害。</w:t>
            </w:r>
          </w:p>
        </w:tc>
        <w:tc>
          <w:tcPr>
            <w:tcW w:w="11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黑体" w:hAnsi="黑体" w:eastAsia="黑体" w:cs="黑体"/>
        <w:b/>
        <w:bCs/>
        <w:color w:val="000000" w:themeColor="text1"/>
        <w:sz w:val="36"/>
        <w:szCs w:val="36"/>
        <w:lang w:eastAsia="zh-CN"/>
        <w14:textFill>
          <w14:solidFill>
            <w14:schemeClr w14:val="tx1"/>
          </w14:solidFill>
        </w14:textFill>
      </w:rPr>
    </w:pPr>
    <w:r>
      <w:rPr>
        <w:rFonts w:hint="eastAsia" w:ascii="黑体" w:hAnsi="黑体" w:eastAsia="黑体" w:cs="黑体"/>
        <w:b/>
        <w:bCs/>
        <w:color w:val="000000" w:themeColor="text1"/>
        <w:sz w:val="36"/>
        <w:szCs w:val="36"/>
        <w:lang w:eastAsia="zh-CN"/>
        <w14:textFill>
          <w14:solidFill>
            <w14:schemeClr w14:val="tx1"/>
          </w14:solidFill>
        </w14:textFill>
      </w:rPr>
      <w:t>大余县应急管理局重大执法决定法制审核</w:t>
    </w:r>
    <w:bookmarkStart w:id="0" w:name="_GoBack"/>
    <w:bookmarkEnd w:id="0"/>
    <w:r>
      <w:rPr>
        <w:rFonts w:hint="eastAsia" w:ascii="黑体" w:hAnsi="黑体" w:eastAsia="黑体" w:cs="黑体"/>
        <w:b/>
        <w:bCs/>
        <w:color w:val="000000" w:themeColor="text1"/>
        <w:sz w:val="36"/>
        <w:szCs w:val="36"/>
        <w:lang w:eastAsia="zh-CN"/>
        <w14:textFill>
          <w14:solidFill>
            <w14:schemeClr w14:val="tx1"/>
          </w14:solidFill>
        </w14:textFill>
      </w:rPr>
      <w:t>事项清单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YTBiOTExNmYzNDcwYTFjYmRmYmJmODdhMmJkNzkifQ=="/>
  </w:docVars>
  <w:rsids>
    <w:rsidRoot w:val="2C6556ED"/>
    <w:rsid w:val="00C04BB0"/>
    <w:rsid w:val="0377014D"/>
    <w:rsid w:val="16AD1E4B"/>
    <w:rsid w:val="2C6556ED"/>
    <w:rsid w:val="40AA7966"/>
    <w:rsid w:val="49732B4E"/>
    <w:rsid w:val="52454B49"/>
    <w:rsid w:val="546B0211"/>
    <w:rsid w:val="63876C8D"/>
    <w:rsid w:val="70E13400"/>
    <w:rsid w:val="753D1FB4"/>
    <w:rsid w:val="7C22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1497</Words>
  <Characters>1497</Characters>
  <Lines>0</Lines>
  <Paragraphs>0</Paragraphs>
  <TotalTime>0</TotalTime>
  <ScaleCrop>false</ScaleCrop>
  <LinksUpToDate>false</LinksUpToDate>
  <CharactersWithSpaces>1498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2022-03-24T06:47:00Z</dcterms:created>
  <dc:creator>Administrator</dc:creator>
  <cp:lastModifiedBy>朱宏章</cp:lastModifiedBy>
  <dcterms:modified xsi:type="dcterms:W3CDTF">2023-12-21T02:23:26Z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DCB1D228C4A64E25AB054009D2DE2CBD_13</vt:lpwstr>
  </property>
</Properties>
</file>