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i w:val="0"/>
          <w:iCs w:val="0"/>
          <w:caps w:val="0"/>
          <w:color w:val="333333"/>
          <w:spacing w:val="0"/>
          <w:sz w:val="26"/>
          <w:szCs w:val="26"/>
          <w:shd w:val="clear" w:fill="FFFFFF"/>
        </w:rPr>
      </w:pPr>
      <w:r>
        <w:rPr>
          <w:rFonts w:ascii="仿宋" w:hAnsi="仿宋" w:eastAsia="仿宋" w:cs="仿宋"/>
          <w:b/>
          <w:bCs/>
          <w:i w:val="0"/>
          <w:iCs w:val="0"/>
          <w:caps w:val="0"/>
          <w:color w:val="333333"/>
          <w:spacing w:val="0"/>
          <w:sz w:val="26"/>
          <w:szCs w:val="26"/>
          <w:shd w:val="clear" w:fill="FFFFFF"/>
        </w:rPr>
        <w:t>大余县应急管理局</w:t>
      </w:r>
      <w:r>
        <w:rPr>
          <w:rFonts w:hint="eastAsia" w:ascii="仿宋" w:hAnsi="仿宋" w:eastAsia="仿宋" w:cs="仿宋"/>
          <w:b/>
          <w:bCs/>
          <w:i w:val="0"/>
          <w:iCs w:val="0"/>
          <w:caps w:val="0"/>
          <w:color w:val="333333"/>
          <w:spacing w:val="0"/>
          <w:sz w:val="26"/>
          <w:szCs w:val="26"/>
          <w:shd w:val="clear" w:fill="FFFFFF"/>
        </w:rPr>
        <w:t>202</w:t>
      </w:r>
      <w:r>
        <w:rPr>
          <w:rFonts w:hint="eastAsia" w:ascii="仿宋" w:hAnsi="仿宋" w:eastAsia="仿宋" w:cs="仿宋"/>
          <w:b/>
          <w:bCs/>
          <w:i w:val="0"/>
          <w:iCs w:val="0"/>
          <w:caps w:val="0"/>
          <w:color w:val="333333"/>
          <w:spacing w:val="0"/>
          <w:sz w:val="26"/>
          <w:szCs w:val="26"/>
          <w:shd w:val="clear" w:fill="FFFFFF"/>
          <w:lang w:val="en-US" w:eastAsia="zh-CN"/>
        </w:rPr>
        <w:t>4</w:t>
      </w:r>
      <w:r>
        <w:rPr>
          <w:rFonts w:hint="eastAsia" w:ascii="仿宋" w:hAnsi="仿宋" w:eastAsia="仿宋" w:cs="仿宋"/>
          <w:b/>
          <w:bCs/>
          <w:i w:val="0"/>
          <w:iCs w:val="0"/>
          <w:caps w:val="0"/>
          <w:color w:val="333333"/>
          <w:spacing w:val="0"/>
          <w:sz w:val="26"/>
          <w:szCs w:val="26"/>
          <w:shd w:val="clear" w:fill="FFFFFF"/>
        </w:rPr>
        <w:t>年1-6月份行政处罚信息公示</w:t>
      </w:r>
    </w:p>
    <w:tbl>
      <w:tblPr>
        <w:tblStyle w:val="3"/>
        <w:tblW w:w="9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1784"/>
        <w:gridCol w:w="1581"/>
        <w:gridCol w:w="1417"/>
        <w:gridCol w:w="2035"/>
        <w:gridCol w:w="1433"/>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86" w:type="dxa"/>
            <w:vAlign w:val="center"/>
          </w:tcPr>
          <w:p>
            <w:pPr>
              <w:jc w:val="center"/>
              <w:rPr>
                <w:rFonts w:hint="eastAsia" w:ascii="宋体" w:hAnsi="宋体" w:eastAsia="宋体" w:cs="宋体"/>
                <w:sz w:val="30"/>
                <w:szCs w:val="30"/>
                <w:vertAlign w:val="baseline"/>
                <w:lang w:eastAsia="zh-CN"/>
              </w:rPr>
            </w:pPr>
            <w:r>
              <w:rPr>
                <w:rFonts w:hint="eastAsia" w:ascii="宋体" w:hAnsi="宋体" w:eastAsia="宋体" w:cs="宋体"/>
                <w:sz w:val="30"/>
                <w:szCs w:val="30"/>
                <w:vertAlign w:val="baseline"/>
                <w:lang w:eastAsia="zh-CN"/>
              </w:rPr>
              <w:t>序号</w:t>
            </w:r>
          </w:p>
        </w:tc>
        <w:tc>
          <w:tcPr>
            <w:tcW w:w="1784" w:type="dxa"/>
            <w:vAlign w:val="center"/>
          </w:tcPr>
          <w:p>
            <w:pPr>
              <w:jc w:val="center"/>
              <w:rPr>
                <w:rFonts w:hint="eastAsia" w:ascii="宋体" w:hAnsi="宋体" w:eastAsia="宋体" w:cs="宋体"/>
                <w:sz w:val="30"/>
                <w:szCs w:val="30"/>
                <w:vertAlign w:val="baseline"/>
                <w:lang w:eastAsia="zh-CN"/>
              </w:rPr>
            </w:pPr>
            <w:r>
              <w:rPr>
                <w:rFonts w:hint="eastAsia" w:ascii="宋体" w:hAnsi="宋体" w:eastAsia="宋体" w:cs="宋体"/>
                <w:sz w:val="30"/>
                <w:szCs w:val="30"/>
                <w:vertAlign w:val="baseline"/>
                <w:lang w:eastAsia="zh-CN"/>
              </w:rPr>
              <w:t>行政相对人名称</w:t>
            </w:r>
          </w:p>
        </w:tc>
        <w:tc>
          <w:tcPr>
            <w:tcW w:w="1581" w:type="dxa"/>
            <w:vAlign w:val="center"/>
          </w:tcPr>
          <w:p>
            <w:pPr>
              <w:jc w:val="center"/>
              <w:rPr>
                <w:rFonts w:hint="eastAsia" w:ascii="宋体" w:hAnsi="宋体" w:eastAsia="宋体" w:cs="宋体"/>
                <w:sz w:val="30"/>
                <w:szCs w:val="30"/>
                <w:vertAlign w:val="baseline"/>
                <w:lang w:eastAsia="zh-CN"/>
              </w:rPr>
            </w:pPr>
            <w:r>
              <w:rPr>
                <w:rFonts w:hint="eastAsia" w:ascii="宋体" w:hAnsi="宋体" w:eastAsia="宋体" w:cs="宋体"/>
                <w:sz w:val="30"/>
                <w:szCs w:val="30"/>
                <w:vertAlign w:val="baseline"/>
                <w:lang w:eastAsia="zh-CN"/>
              </w:rPr>
              <w:t>立案日期</w:t>
            </w:r>
          </w:p>
        </w:tc>
        <w:tc>
          <w:tcPr>
            <w:tcW w:w="1417" w:type="dxa"/>
            <w:vAlign w:val="center"/>
          </w:tcPr>
          <w:p>
            <w:pPr>
              <w:jc w:val="center"/>
              <w:rPr>
                <w:rFonts w:hint="eastAsia" w:ascii="宋体" w:hAnsi="宋体" w:eastAsia="宋体" w:cs="宋体"/>
                <w:sz w:val="30"/>
                <w:szCs w:val="30"/>
                <w:vertAlign w:val="baseline"/>
                <w:lang w:eastAsia="zh-CN"/>
              </w:rPr>
            </w:pPr>
            <w:r>
              <w:rPr>
                <w:rFonts w:hint="eastAsia" w:ascii="宋体" w:hAnsi="宋体" w:eastAsia="宋体" w:cs="宋体"/>
                <w:sz w:val="30"/>
                <w:szCs w:val="30"/>
                <w:vertAlign w:val="baseline"/>
                <w:lang w:eastAsia="zh-CN"/>
              </w:rPr>
              <w:t>案由</w:t>
            </w:r>
          </w:p>
        </w:tc>
        <w:tc>
          <w:tcPr>
            <w:tcW w:w="2035" w:type="dxa"/>
            <w:vAlign w:val="center"/>
          </w:tcPr>
          <w:p>
            <w:pPr>
              <w:jc w:val="center"/>
              <w:rPr>
                <w:rFonts w:hint="eastAsia" w:ascii="宋体" w:hAnsi="宋体" w:eastAsia="宋体" w:cs="宋体"/>
                <w:sz w:val="30"/>
                <w:szCs w:val="30"/>
                <w:vertAlign w:val="baseline"/>
                <w:lang w:eastAsia="zh-CN"/>
              </w:rPr>
            </w:pPr>
            <w:r>
              <w:rPr>
                <w:rFonts w:hint="eastAsia" w:ascii="宋体" w:hAnsi="宋体" w:eastAsia="宋体" w:cs="宋体"/>
                <w:sz w:val="30"/>
                <w:szCs w:val="30"/>
                <w:vertAlign w:val="baseline"/>
                <w:lang w:eastAsia="zh-CN"/>
              </w:rPr>
              <w:t>处罚依据</w:t>
            </w:r>
          </w:p>
        </w:tc>
        <w:tc>
          <w:tcPr>
            <w:tcW w:w="1433" w:type="dxa"/>
            <w:vAlign w:val="center"/>
          </w:tcPr>
          <w:p>
            <w:pPr>
              <w:jc w:val="center"/>
              <w:rPr>
                <w:rFonts w:hint="eastAsia" w:ascii="宋体" w:hAnsi="宋体" w:eastAsia="宋体" w:cs="宋体"/>
                <w:sz w:val="30"/>
                <w:szCs w:val="30"/>
                <w:vertAlign w:val="baseline"/>
                <w:lang w:eastAsia="zh-CN"/>
              </w:rPr>
            </w:pPr>
            <w:r>
              <w:rPr>
                <w:rFonts w:hint="eastAsia" w:ascii="宋体" w:hAnsi="宋体" w:eastAsia="宋体" w:cs="宋体"/>
                <w:sz w:val="30"/>
                <w:szCs w:val="30"/>
                <w:vertAlign w:val="baseline"/>
                <w:lang w:eastAsia="zh-CN"/>
              </w:rPr>
              <w:t>处罚结果</w:t>
            </w:r>
          </w:p>
        </w:tc>
        <w:tc>
          <w:tcPr>
            <w:tcW w:w="783" w:type="dxa"/>
            <w:vAlign w:val="center"/>
          </w:tcPr>
          <w:p>
            <w:pPr>
              <w:jc w:val="center"/>
              <w:rPr>
                <w:rFonts w:hint="eastAsia" w:ascii="宋体" w:hAnsi="宋体" w:eastAsia="宋体" w:cs="宋体"/>
                <w:sz w:val="30"/>
                <w:szCs w:val="30"/>
                <w:vertAlign w:val="baseline"/>
                <w:lang w:eastAsia="zh-CN"/>
              </w:rPr>
            </w:pPr>
            <w:r>
              <w:rPr>
                <w:rFonts w:hint="eastAsia" w:ascii="宋体" w:hAnsi="宋体" w:eastAsia="宋体" w:cs="宋体"/>
                <w:sz w:val="30"/>
                <w:szCs w:val="30"/>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886" w:type="dxa"/>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784" w:type="dxa"/>
            <w:vAlign w:val="center"/>
          </w:tcPr>
          <w:p>
            <w:pPr>
              <w:jc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大余中田实业有限公司</w:t>
            </w:r>
          </w:p>
        </w:tc>
        <w:tc>
          <w:tcPr>
            <w:tcW w:w="1581" w:type="dxa"/>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2024年1月18日</w:t>
            </w:r>
          </w:p>
        </w:tc>
        <w:tc>
          <w:tcPr>
            <w:tcW w:w="1417" w:type="dxa"/>
            <w:vAlign w:val="top"/>
          </w:tcPr>
          <w:p>
            <w:pPr>
              <w:jc w:val="both"/>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大余中田实业有限公司未与承租单位签订专门的安全生产管理协议案</w:t>
            </w:r>
          </w:p>
        </w:tc>
        <w:tc>
          <w:tcPr>
            <w:tcW w:w="2035" w:type="dxa"/>
            <w:vAlign w:val="top"/>
          </w:tcPr>
          <w:p>
            <w:pPr>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eastAsia="zh-CN"/>
              </w:rPr>
              <w:t>《中华人民共和国安全生产法》第一百零三条第二款、《</w:t>
            </w:r>
            <w:r>
              <w:rPr>
                <w:rFonts w:hint="eastAsia" w:ascii="宋体" w:hAnsi="宋体" w:eastAsia="宋体" w:cs="宋体"/>
                <w:sz w:val="21"/>
                <w:szCs w:val="21"/>
                <w:vertAlign w:val="baseline"/>
                <w:lang w:val="en-US" w:eastAsia="zh-CN"/>
              </w:rPr>
              <w:t>江西省应急管理部门安全生产行政处罚裁量适用细则（2022）年版》</w:t>
            </w:r>
          </w:p>
        </w:tc>
        <w:tc>
          <w:tcPr>
            <w:tcW w:w="1433" w:type="dxa"/>
            <w:vAlign w:val="center"/>
          </w:tcPr>
          <w:p>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对</w:t>
            </w:r>
            <w:r>
              <w:rPr>
                <w:rFonts w:hint="eastAsia" w:ascii="宋体" w:hAnsi="宋体" w:eastAsia="宋体" w:cs="宋体"/>
                <w:sz w:val="21"/>
                <w:szCs w:val="21"/>
                <w:vertAlign w:val="baseline"/>
                <w:lang w:eastAsia="zh-CN"/>
              </w:rPr>
              <w:t>公司及负责人给予责令限期改正，</w:t>
            </w:r>
            <w:bookmarkStart w:id="0" w:name="_GoBack"/>
            <w:bookmarkEnd w:id="0"/>
            <w:r>
              <w:rPr>
                <w:rFonts w:hint="eastAsia" w:ascii="宋体" w:hAnsi="宋体" w:eastAsia="宋体" w:cs="宋体"/>
                <w:sz w:val="21"/>
                <w:szCs w:val="21"/>
                <w:vertAlign w:val="baseline"/>
                <w:lang w:eastAsia="zh-CN"/>
              </w:rPr>
              <w:t>共</w:t>
            </w:r>
            <w:r>
              <w:rPr>
                <w:rFonts w:hint="eastAsia" w:ascii="宋体" w:hAnsi="宋体" w:eastAsia="宋体" w:cs="宋体"/>
                <w:sz w:val="21"/>
                <w:szCs w:val="21"/>
                <w:vertAlign w:val="baseline"/>
              </w:rPr>
              <w:t>处人民币</w:t>
            </w:r>
            <w:r>
              <w:rPr>
                <w:rFonts w:hint="eastAsia" w:ascii="宋体" w:hAnsi="宋体" w:eastAsia="宋体" w:cs="宋体"/>
                <w:sz w:val="21"/>
                <w:szCs w:val="21"/>
                <w:vertAlign w:val="baseline"/>
                <w:lang w:eastAsia="zh-CN"/>
              </w:rPr>
              <w:t>壹万元</w:t>
            </w:r>
            <w:r>
              <w:rPr>
                <w:rFonts w:hint="eastAsia" w:ascii="宋体" w:hAnsi="宋体" w:eastAsia="宋体" w:cs="宋体"/>
                <w:sz w:val="21"/>
                <w:szCs w:val="21"/>
                <w:vertAlign w:val="baseline"/>
              </w:rPr>
              <w:t>罚款的行政处罚</w:t>
            </w:r>
          </w:p>
        </w:tc>
        <w:tc>
          <w:tcPr>
            <w:tcW w:w="783" w:type="dxa"/>
            <w:vAlign w:val="center"/>
          </w:tcPr>
          <w:p>
            <w:pPr>
              <w:jc w:val="center"/>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886" w:type="dxa"/>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784" w:type="dxa"/>
            <w:vAlign w:val="center"/>
          </w:tcPr>
          <w:p>
            <w:pPr>
              <w:jc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赣州金豫鑫家具有限公司</w:t>
            </w:r>
          </w:p>
        </w:tc>
        <w:tc>
          <w:tcPr>
            <w:tcW w:w="1581" w:type="dxa"/>
            <w:vAlign w:val="center"/>
          </w:tcPr>
          <w:p>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2024年1月18日</w:t>
            </w:r>
          </w:p>
        </w:tc>
        <w:tc>
          <w:tcPr>
            <w:tcW w:w="1417" w:type="dxa"/>
            <w:vAlign w:val="top"/>
          </w:tcPr>
          <w:p>
            <w:pPr>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赣州金豫鑫家具有限公司</w:t>
            </w:r>
            <w:r>
              <w:rPr>
                <w:rFonts w:hint="eastAsia" w:ascii="宋体" w:hAnsi="宋体" w:eastAsia="宋体" w:cs="宋体"/>
                <w:sz w:val="21"/>
                <w:szCs w:val="21"/>
                <w:vertAlign w:val="baseline"/>
                <w:lang w:eastAsia="zh-CN"/>
              </w:rPr>
              <w:t>特种</w:t>
            </w:r>
            <w:r>
              <w:rPr>
                <w:rFonts w:hint="eastAsia" w:ascii="宋体" w:hAnsi="宋体" w:eastAsia="宋体" w:cs="宋体"/>
                <w:sz w:val="21"/>
                <w:szCs w:val="21"/>
                <w:vertAlign w:val="baseline"/>
              </w:rPr>
              <w:t>作业人员</w:t>
            </w:r>
            <w:r>
              <w:rPr>
                <w:rFonts w:hint="eastAsia" w:ascii="宋体" w:hAnsi="宋体" w:eastAsia="宋体" w:cs="宋体"/>
                <w:sz w:val="21"/>
                <w:szCs w:val="21"/>
                <w:vertAlign w:val="baseline"/>
                <w:lang w:eastAsia="zh-CN"/>
              </w:rPr>
              <w:t>未持证上岗及</w:t>
            </w:r>
            <w:r>
              <w:rPr>
                <w:rFonts w:hint="eastAsia" w:ascii="宋体" w:hAnsi="宋体" w:eastAsia="宋体" w:cs="宋体"/>
                <w:sz w:val="21"/>
                <w:szCs w:val="21"/>
                <w:vertAlign w:val="baseline"/>
              </w:rPr>
              <w:t>未建立隐患排查治理台账</w:t>
            </w:r>
          </w:p>
        </w:tc>
        <w:tc>
          <w:tcPr>
            <w:tcW w:w="2035" w:type="dxa"/>
            <w:vAlign w:val="top"/>
          </w:tcPr>
          <w:p>
            <w:pPr>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《中华人民共和国安全生产法》第九十七条第（七）项、《江西省生产安全事故隐患排查治理办法》第三十四条第（四）项、《</w:t>
            </w:r>
            <w:r>
              <w:rPr>
                <w:rFonts w:hint="eastAsia" w:ascii="宋体" w:hAnsi="宋体" w:eastAsia="宋体" w:cs="宋体"/>
                <w:sz w:val="21"/>
                <w:szCs w:val="21"/>
                <w:vertAlign w:val="baseline"/>
                <w:lang w:val="en-US" w:eastAsia="zh-CN"/>
              </w:rPr>
              <w:t>江西省应急管理部门安全生产行政处罚裁量适用细则（2022）年版》</w:t>
            </w:r>
          </w:p>
        </w:tc>
        <w:tc>
          <w:tcPr>
            <w:tcW w:w="1433" w:type="dxa"/>
            <w:vAlign w:val="center"/>
          </w:tcPr>
          <w:p>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对当事人</w:t>
            </w:r>
            <w:r>
              <w:rPr>
                <w:rFonts w:hint="eastAsia" w:ascii="宋体" w:hAnsi="宋体" w:eastAsia="宋体" w:cs="宋体"/>
                <w:sz w:val="21"/>
                <w:szCs w:val="21"/>
                <w:vertAlign w:val="baseline"/>
                <w:lang w:eastAsia="zh-CN"/>
              </w:rPr>
              <w:t>给予以警告，责令限期改正，</w:t>
            </w:r>
            <w:r>
              <w:rPr>
                <w:rFonts w:hint="eastAsia" w:ascii="宋体" w:hAnsi="宋体" w:eastAsia="宋体" w:cs="宋体"/>
                <w:sz w:val="21"/>
                <w:szCs w:val="21"/>
                <w:vertAlign w:val="baseline"/>
              </w:rPr>
              <w:t>处人民币</w:t>
            </w:r>
            <w:r>
              <w:rPr>
                <w:rFonts w:hint="eastAsia" w:ascii="宋体" w:hAnsi="宋体" w:eastAsia="宋体" w:cs="宋体"/>
                <w:sz w:val="21"/>
                <w:szCs w:val="21"/>
                <w:vertAlign w:val="baseline"/>
                <w:lang w:eastAsia="zh-CN"/>
              </w:rPr>
              <w:t>贰万元</w:t>
            </w:r>
            <w:r>
              <w:rPr>
                <w:rFonts w:hint="eastAsia" w:ascii="宋体" w:hAnsi="宋体" w:eastAsia="宋体" w:cs="宋体"/>
                <w:sz w:val="21"/>
                <w:szCs w:val="21"/>
                <w:vertAlign w:val="baseline"/>
              </w:rPr>
              <w:t>罚款的行政处罚</w:t>
            </w:r>
          </w:p>
        </w:tc>
        <w:tc>
          <w:tcPr>
            <w:tcW w:w="783" w:type="dxa"/>
            <w:vAlign w:val="center"/>
          </w:tcPr>
          <w:p>
            <w:pPr>
              <w:jc w:val="center"/>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886" w:type="dxa"/>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784" w:type="dxa"/>
            <w:vAlign w:val="center"/>
          </w:tcPr>
          <w:p>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大余县平安建筑材料机械租赁部</w:t>
            </w:r>
          </w:p>
        </w:tc>
        <w:tc>
          <w:tcPr>
            <w:tcW w:w="1581" w:type="dxa"/>
            <w:vAlign w:val="center"/>
          </w:tcPr>
          <w:p>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2024年2月24日</w:t>
            </w:r>
          </w:p>
        </w:tc>
        <w:tc>
          <w:tcPr>
            <w:tcW w:w="1417" w:type="dxa"/>
            <w:vAlign w:val="top"/>
          </w:tcPr>
          <w:p>
            <w:pPr>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大余县平安建筑材料机械租赁部特种作业人员未持证上岗案</w:t>
            </w:r>
          </w:p>
        </w:tc>
        <w:tc>
          <w:tcPr>
            <w:tcW w:w="2035" w:type="dxa"/>
            <w:vAlign w:val="top"/>
          </w:tcPr>
          <w:p>
            <w:pPr>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《中华人民共和国安全生产法》第九十七条第（七）项、《</w:t>
            </w:r>
            <w:r>
              <w:rPr>
                <w:rFonts w:hint="eastAsia" w:ascii="宋体" w:hAnsi="宋体" w:eastAsia="宋体" w:cs="宋体"/>
                <w:sz w:val="21"/>
                <w:szCs w:val="21"/>
                <w:vertAlign w:val="baseline"/>
                <w:lang w:val="en-US" w:eastAsia="zh-CN"/>
              </w:rPr>
              <w:t>江西省应急管理部门安全生产行政处罚裁量适用细则（2022）年版》</w:t>
            </w:r>
          </w:p>
        </w:tc>
        <w:tc>
          <w:tcPr>
            <w:tcW w:w="1433" w:type="dxa"/>
            <w:vAlign w:val="center"/>
          </w:tcPr>
          <w:p>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对当事人</w:t>
            </w:r>
            <w:r>
              <w:rPr>
                <w:rFonts w:hint="eastAsia" w:ascii="宋体" w:hAnsi="宋体" w:eastAsia="宋体" w:cs="宋体"/>
                <w:sz w:val="21"/>
                <w:szCs w:val="21"/>
                <w:vertAlign w:val="baseline"/>
                <w:lang w:eastAsia="zh-CN"/>
              </w:rPr>
              <w:t>给予以责令限期改正，</w:t>
            </w:r>
            <w:r>
              <w:rPr>
                <w:rFonts w:hint="eastAsia" w:ascii="宋体" w:hAnsi="宋体" w:eastAsia="宋体" w:cs="宋体"/>
                <w:sz w:val="21"/>
                <w:szCs w:val="21"/>
                <w:vertAlign w:val="baseline"/>
              </w:rPr>
              <w:t>处人民币</w:t>
            </w:r>
            <w:r>
              <w:rPr>
                <w:rFonts w:hint="eastAsia" w:ascii="宋体" w:hAnsi="宋体" w:eastAsia="宋体" w:cs="宋体"/>
                <w:sz w:val="21"/>
                <w:szCs w:val="21"/>
                <w:vertAlign w:val="baseline"/>
                <w:lang w:eastAsia="zh-CN"/>
              </w:rPr>
              <w:t>壹万元</w:t>
            </w:r>
            <w:r>
              <w:rPr>
                <w:rFonts w:hint="eastAsia" w:ascii="宋体" w:hAnsi="宋体" w:eastAsia="宋体" w:cs="宋体"/>
                <w:sz w:val="21"/>
                <w:szCs w:val="21"/>
                <w:vertAlign w:val="baseline"/>
              </w:rPr>
              <w:t>罚款的行政处罚</w:t>
            </w:r>
          </w:p>
        </w:tc>
        <w:tc>
          <w:tcPr>
            <w:tcW w:w="783" w:type="dxa"/>
            <w:vAlign w:val="center"/>
          </w:tcPr>
          <w:p>
            <w:pPr>
              <w:jc w:val="center"/>
              <w:rPr>
                <w:rFonts w:hint="eastAsia" w:ascii="宋体" w:hAnsi="宋体" w:eastAsia="宋体" w:cs="宋体"/>
                <w:sz w:val="21"/>
                <w:szCs w:val="21"/>
                <w:vertAlign w:val="baseline"/>
              </w:rPr>
            </w:pPr>
          </w:p>
        </w:tc>
      </w:tr>
    </w:tbl>
    <w:p>
      <w:pPr>
        <w:rPr>
          <w:rFonts w:hint="eastAsia" w:ascii="仿宋" w:hAnsi="仿宋" w:eastAsia="仿宋" w:cs="仿宋"/>
          <w:b/>
          <w:bCs/>
          <w:i w:val="0"/>
          <w:iCs w:val="0"/>
          <w:caps w:val="0"/>
          <w:color w:val="333333"/>
          <w:spacing w:val="0"/>
          <w:sz w:val="26"/>
          <w:szCs w:val="2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ZmQ4OTM3YmVmZTcyNjFjYzJlYWUzMzRiNTRmN2QifQ=="/>
  </w:docVars>
  <w:rsids>
    <w:rsidRoot w:val="00000000"/>
    <w:rsid w:val="00A927BD"/>
    <w:rsid w:val="1E5D1091"/>
    <w:rsid w:val="35EF5721"/>
    <w:rsid w:val="382D2531"/>
    <w:rsid w:val="3A484F66"/>
    <w:rsid w:val="659565DE"/>
    <w:rsid w:val="66B67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2024-07-10T09:10:31Z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26C6812F1D8D4DDC9F2807C1E33F2F9B_12</vt:lpwstr>
  </property>
</Properties>
</file>