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大余县禁限放烟花爆竹管理规定</w:t>
      </w:r>
    </w:p>
    <w:p>
      <w:pPr>
        <w:pStyle w:val="9"/>
        <w:widowControl/>
        <w:shd w:val="clear" w:color="auto" w:fill="FFFFFF"/>
        <w:spacing w:before="0" w:after="0" w:line="540" w:lineRule="atLeast"/>
        <w:jc w:val="center"/>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2018年12月7日</w:t>
      </w:r>
      <w:r>
        <w:rPr>
          <w:rFonts w:hint="eastAsia" w:ascii="楷体_GB2312" w:hAnsi="楷体_GB2312" w:eastAsia="楷体_GB2312" w:cs="楷体_GB2312"/>
          <w:sz w:val="32"/>
          <w:szCs w:val="32"/>
        </w:rPr>
        <w:t>余府办字〔2018〕147号</w:t>
      </w:r>
      <w:r>
        <w:rPr>
          <w:rFonts w:hint="eastAsia" w:ascii="楷体_GB2312" w:hAnsi="楷体_GB2312" w:eastAsia="楷体_GB2312" w:cs="楷体_GB2312"/>
          <w:sz w:val="32"/>
          <w:szCs w:val="32"/>
          <w:lang w:eastAsia="zh-CN"/>
        </w:rPr>
        <w:t>印发，</w:t>
      </w:r>
      <w:r>
        <w:rPr>
          <w:rFonts w:hint="eastAsia" w:ascii="楷体_GB2312" w:hAnsi="楷体_GB2312" w:eastAsia="楷体_GB2312" w:cs="楷体_GB2312"/>
          <w:sz w:val="32"/>
          <w:szCs w:val="32"/>
          <w:lang w:val="en-US" w:eastAsia="zh-CN"/>
        </w:rPr>
        <w:t>2025年*月*日</w:t>
      </w:r>
      <w:r>
        <w:rPr>
          <w:rFonts w:hint="eastAsia" w:ascii="楷体_GB2312" w:hAnsi="楷体_GB2312" w:eastAsia="楷体_GB2312" w:cs="楷体_GB2312"/>
          <w:sz w:val="32"/>
          <w:szCs w:val="32"/>
        </w:rPr>
        <w:t>余府字〔202</w:t>
      </w:r>
      <w:r>
        <w:rPr>
          <w:rFonts w:hint="eastAsia" w:ascii="楷体_GB2312" w:hAnsi="楷体_GB2312" w:eastAsia="楷体_GB2312" w:cs="楷体_GB2312"/>
          <w:sz w:val="32"/>
          <w:szCs w:val="32"/>
          <w:lang w:val="en-US" w:eastAsia="zh-CN"/>
        </w:rPr>
        <w:t>5</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rPr>
        <w:t>号</w:t>
      </w:r>
      <w:r>
        <w:rPr>
          <w:rFonts w:hint="eastAsia" w:ascii="楷体_GB2312" w:hAnsi="楷体_GB2312" w:eastAsia="楷体_GB2312" w:cs="楷体_GB2312"/>
          <w:sz w:val="32"/>
          <w:szCs w:val="32"/>
          <w:lang w:eastAsia="zh-CN"/>
        </w:rPr>
        <w:t>修订</w:t>
      </w:r>
      <w:r>
        <w:rPr>
          <w:rFonts w:hint="eastAsia" w:ascii="楷体_GB2312" w:hAnsi="楷体_GB2312" w:eastAsia="楷体_GB2312" w:cs="楷体_GB2312"/>
          <w:sz w:val="32"/>
          <w:szCs w:val="32"/>
          <w:lang w:val="en-US" w:eastAsia="zh-CN"/>
        </w:rPr>
        <w:t>）</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第一条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为加强烟花爆竹燃放管理，防治噪声和大气污染，切实改善大气环境质量，保障公民人身、财产安全，维护公共安</w:t>
      </w:r>
      <w:r>
        <w:rPr>
          <w:rStyle w:val="10"/>
          <w:rFonts w:hint="eastAsia" w:ascii="仿宋_GB2312" w:hAnsi="仿宋_GB2312" w:eastAsia="仿宋_GB2312" w:cs="仿宋_GB2312"/>
          <w:color w:val="333333"/>
          <w:spacing w:val="-4"/>
          <w:sz w:val="32"/>
          <w:szCs w:val="32"/>
        </w:rPr>
        <w:t>全和社会秩序，根据《中华人民共和国大气污染防治法》《烟花爆竹安全管理条例》《赣州市城市管理条例》《江西省烟花爆竹安全管理办法》等有关法律、法规，结合本县实际，制定本管理规定。</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第二条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本县范围内烟花爆竹燃放管理适用本规定。</w:t>
      </w:r>
      <w:bookmarkStart w:id="0" w:name="_GoBack"/>
      <w:bookmarkEnd w:id="0"/>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jc w:val="both"/>
        <w:textAlignment w:val="auto"/>
        <w:rPr>
          <w:rStyle w:val="10"/>
          <w:rFonts w:hint="eastAsia" w:ascii="仿宋_GB2312" w:hAnsi="仿宋_GB2312" w:eastAsia="仿宋_GB2312" w:cs="仿宋_GB2312"/>
          <w:color w:val="333333"/>
          <w:sz w:val="32"/>
          <w:szCs w:val="32"/>
        </w:rPr>
      </w:pPr>
      <w:r>
        <w:rPr>
          <w:rStyle w:val="10"/>
          <w:rFonts w:hint="eastAsia" w:ascii="仿宋_GB2312" w:hAnsi="仿宋_GB2312" w:eastAsia="仿宋_GB2312" w:cs="仿宋_GB2312"/>
          <w:b/>
          <w:bCs/>
          <w:color w:val="333333"/>
          <w:sz w:val="32"/>
          <w:szCs w:val="32"/>
        </w:rPr>
        <w:t>第三条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本县下列区域内禁止燃放烟花爆竹：</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jc w:val="both"/>
        <w:textAlignment w:val="auto"/>
        <w:rPr>
          <w:rStyle w:val="10"/>
          <w:rFonts w:hint="eastAsia" w:ascii="仿宋_GB2312" w:hAnsi="仿宋_GB2312" w:eastAsia="仿宋_GB2312" w:cs="仿宋_GB2312"/>
          <w:color w:val="333333"/>
          <w:sz w:val="32"/>
          <w:szCs w:val="32"/>
          <w:lang w:eastAsia="zh-CN"/>
        </w:rPr>
      </w:pPr>
      <w:r>
        <w:rPr>
          <w:rStyle w:val="10"/>
          <w:rFonts w:hint="eastAsia" w:ascii="仿宋_GB2312" w:hAnsi="仿宋_GB2312" w:eastAsia="仿宋_GB2312" w:cs="仿宋_GB2312"/>
          <w:color w:val="333333"/>
          <w:sz w:val="32"/>
          <w:szCs w:val="32"/>
        </w:rPr>
        <w:t>县城东北至火车站，北至自然山体山脚，西至往浮江方向的红砖厂，南至新华工业小区，东至323国道往新城方向左侧。</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第四条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本规定第三条所列区域外的下列地点和区域禁止燃放烟花爆竹：</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（一）文物保护、保存单位和自然保护区；</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24"/>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pacing w:val="-4"/>
          <w:sz w:val="32"/>
          <w:szCs w:val="32"/>
        </w:rPr>
        <w:t>（二）汽车站、火车站等交通枢纽以及铁路线路安全保护区内；</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（三）加油站、油库、液化石油站、成品油管道输油站、天然气站及粮、棉、油、麻等易燃易爆物品生产、销售、储存、使用场所；</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（四）发电、输变电设施安全保护区内和架空通讯线路、军事设施附近；</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（五）国家机关、团体、企事业单位，医疗机构、养老院、幼儿园、托儿所、中小学校；</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（六）山林、绿地、苗圃、墓区等重点防火区；</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（七）城市桥梁、地下空间；</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（八）公园、商场、集贸市场、居民小区、公共娱乐场所等人员密集的场所。</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after="0" w:line="520" w:lineRule="exact"/>
        <w:ind w:firstLine="643" w:firstLineChars="200"/>
        <w:jc w:val="both"/>
        <w:textAlignment w:val="auto"/>
        <w:rPr>
          <w:rStyle w:val="10"/>
          <w:rFonts w:hint="eastAsia" w:ascii="仿宋_GB2312" w:hAnsi="仿宋_GB2312" w:eastAsia="仿宋_GB2312" w:cs="仿宋_GB2312"/>
          <w:color w:val="333333"/>
          <w:sz w:val="32"/>
          <w:szCs w:val="32"/>
        </w:rPr>
      </w:pPr>
      <w:r>
        <w:rPr>
          <w:rStyle w:val="10"/>
          <w:rFonts w:hint="eastAsia" w:ascii="仿宋_GB2312" w:hAnsi="仿宋_GB2312" w:eastAsia="仿宋_GB2312" w:cs="仿宋_GB2312"/>
          <w:b/>
          <w:bCs/>
          <w:color w:val="333333"/>
          <w:sz w:val="32"/>
          <w:szCs w:val="32"/>
          <w:lang w:eastAsia="zh-CN"/>
        </w:rPr>
        <w:t>第五条</w:t>
      </w:r>
      <w:r>
        <w:rPr>
          <w:rStyle w:val="10"/>
          <w:rFonts w:hint="eastAsia" w:ascii="仿宋_GB2312" w:hAnsi="仿宋_GB2312" w:eastAsia="仿宋_GB2312" w:cs="仿宋_GB2312"/>
          <w:color w:val="333333"/>
          <w:sz w:val="32"/>
          <w:szCs w:val="32"/>
          <w:lang w:val="en-US" w:eastAsia="zh-CN"/>
        </w:rPr>
        <w:t xml:space="preserve"> </w:t>
      </w:r>
      <w:r>
        <w:rPr>
          <w:rStyle w:val="10"/>
          <w:rFonts w:hint="eastAsia" w:ascii="仿宋_GB2312" w:hAnsi="仿宋_GB2312" w:eastAsia="仿宋_GB2312" w:cs="仿宋_GB2312"/>
          <w:color w:val="333333"/>
          <w:sz w:val="32"/>
          <w:szCs w:val="32"/>
        </w:rPr>
        <w:t>禁止在城市市区布设烟花爆竹批发场所；城市市区的烟花爆竹零售网点，应当按照严格控制的原则合理布设。</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after="0" w:line="520" w:lineRule="exact"/>
        <w:ind w:firstLine="643" w:firstLineChars="20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第六条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 xml:space="preserve">在禁止燃放烟花爆竹区域外，各乡镇人民政府应按照“保障安全、合理布局、适度竞争”的原则，严格烟花爆竹经营规划布点，严格执行烟花爆竹零售经营店（点）基本安全条件。 </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第七条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举办焰火晚会以及其他大型焰火燃放活动的，主办单位应当依法向公安部门提出申请，取得《焰火燃放许可证》，并由符合行业标准规定条件的燃放作业单位按经许可的燃放作业方案进行燃放作业。</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作出许可的公安机关应当将许可燃放的时间、地点、种类、规格、数量向社会公告。</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公安部门应当严格审查焰火晚会或者其他大型焰火燃放活动燃放作业单位资质、作业人员资格，监督、检查、指导主办单位做好安全保卫、消防救援和警戒工作。</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第八条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燃放烟花爆竹应当遵守下列规定：</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（一）不得将点燃的烟花爆竹向人员、车辆、建筑物、构筑物投射、抛掷；</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（二）不得妨碍行人、车辆安全通行和影响交通秩序；</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（三）不得采用其他危害公共安全和人身、财产安全的方式燃放烟花爆竹。</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无民事行为能力人或者限制民事行为能力人燃放烟花爆竹的，应当由监护人或者其他成年人陪同。</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烟花爆竹燃放后，应当及时采取洒水、清扫等降尘措施，降低对环境的影响。</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w:t>
      </w:r>
      <w:r>
        <w:rPr>
          <w:rStyle w:val="10"/>
          <w:rFonts w:hint="eastAsia" w:ascii="仿宋_GB2312" w:hAnsi="仿宋_GB2312" w:eastAsia="仿宋_GB2312" w:cs="仿宋_GB2312"/>
          <w:b/>
          <w:bCs/>
          <w:color w:val="333333"/>
          <w:sz w:val="32"/>
          <w:szCs w:val="32"/>
          <w:lang w:eastAsia="zh-CN"/>
        </w:rPr>
        <w:t>九</w:t>
      </w:r>
      <w:r>
        <w:rPr>
          <w:rStyle w:val="10"/>
          <w:rFonts w:hint="eastAsia" w:ascii="仿宋_GB2312" w:hAnsi="仿宋_GB2312" w:eastAsia="仿宋_GB2312" w:cs="仿宋_GB2312"/>
          <w:b/>
          <w:bCs/>
          <w:color w:val="333333"/>
          <w:sz w:val="32"/>
          <w:szCs w:val="32"/>
        </w:rPr>
        <w:t>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公安部门是烟花爆竹燃放管理工作的主管部门，负责烟花爆竹的公共安全管理。</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lang w:val="en-US" w:eastAsia="zh-CN"/>
        </w:rPr>
        <w:t>生态环境</w:t>
      </w:r>
      <w:r>
        <w:rPr>
          <w:rStyle w:val="10"/>
          <w:rFonts w:hint="eastAsia" w:ascii="仿宋_GB2312" w:hAnsi="仿宋_GB2312" w:eastAsia="仿宋_GB2312" w:cs="仿宋_GB2312"/>
          <w:color w:val="333333"/>
          <w:sz w:val="32"/>
          <w:szCs w:val="32"/>
          <w:lang w:eastAsia="zh-CN"/>
        </w:rPr>
        <w:t>部门</w:t>
      </w:r>
      <w:r>
        <w:rPr>
          <w:rStyle w:val="10"/>
          <w:rFonts w:hint="eastAsia" w:ascii="仿宋_GB2312" w:hAnsi="仿宋_GB2312" w:eastAsia="仿宋_GB2312" w:cs="仿宋_GB2312"/>
          <w:color w:val="333333"/>
          <w:sz w:val="32"/>
          <w:szCs w:val="32"/>
        </w:rPr>
        <w:t>应加强烟花爆竹燃放环境监测，及时公布相关信息，回应社会关切。</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firstLineChars="20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lang w:eastAsia="zh-CN"/>
        </w:rPr>
        <w:t>应急管理</w:t>
      </w:r>
      <w:r>
        <w:rPr>
          <w:rStyle w:val="10"/>
          <w:rFonts w:hint="eastAsia" w:ascii="仿宋_GB2312" w:hAnsi="仿宋_GB2312" w:eastAsia="仿宋_GB2312" w:cs="仿宋_GB2312"/>
          <w:color w:val="333333"/>
          <w:sz w:val="32"/>
          <w:szCs w:val="32"/>
        </w:rPr>
        <w:t>、城管、</w:t>
      </w:r>
      <w:r>
        <w:rPr>
          <w:rStyle w:val="10"/>
          <w:rFonts w:hint="eastAsia" w:ascii="仿宋_GB2312" w:hAnsi="仿宋_GB2312" w:eastAsia="仿宋_GB2312" w:cs="仿宋_GB2312"/>
          <w:color w:val="333333"/>
          <w:sz w:val="32"/>
          <w:szCs w:val="32"/>
          <w:lang w:eastAsia="zh-CN"/>
        </w:rPr>
        <w:t>市场监管</w:t>
      </w:r>
      <w:r>
        <w:rPr>
          <w:rStyle w:val="10"/>
          <w:rFonts w:hint="eastAsia" w:ascii="仿宋_GB2312" w:hAnsi="仿宋_GB2312" w:eastAsia="仿宋_GB2312" w:cs="仿宋_GB2312"/>
          <w:color w:val="333333"/>
          <w:sz w:val="32"/>
          <w:szCs w:val="32"/>
        </w:rPr>
        <w:t>、</w:t>
      </w:r>
      <w:r>
        <w:rPr>
          <w:rStyle w:val="10"/>
          <w:rFonts w:hint="eastAsia" w:ascii="仿宋_GB2312" w:hAnsi="仿宋_GB2312" w:eastAsia="仿宋_GB2312" w:cs="仿宋_GB2312"/>
          <w:color w:val="333333"/>
          <w:sz w:val="32"/>
          <w:szCs w:val="32"/>
          <w:lang w:eastAsia="zh-CN"/>
        </w:rPr>
        <w:t>住房城乡建设</w:t>
      </w:r>
      <w:r>
        <w:rPr>
          <w:rStyle w:val="10"/>
          <w:rFonts w:hint="eastAsia" w:ascii="仿宋_GB2312" w:hAnsi="仿宋_GB2312" w:eastAsia="仿宋_GB2312" w:cs="仿宋_GB2312"/>
          <w:color w:val="333333"/>
          <w:sz w:val="32"/>
          <w:szCs w:val="32"/>
        </w:rPr>
        <w:t>、</w:t>
      </w:r>
      <w:r>
        <w:rPr>
          <w:rStyle w:val="10"/>
          <w:rFonts w:hint="eastAsia" w:ascii="仿宋_GB2312" w:hAnsi="仿宋_GB2312" w:eastAsia="仿宋_GB2312" w:cs="仿宋_GB2312"/>
          <w:color w:val="333333"/>
          <w:sz w:val="32"/>
          <w:szCs w:val="32"/>
          <w:lang w:eastAsia="zh-CN"/>
        </w:rPr>
        <w:t>行政审批</w:t>
      </w:r>
      <w:r>
        <w:rPr>
          <w:rStyle w:val="10"/>
          <w:rFonts w:hint="eastAsia" w:ascii="仿宋_GB2312" w:hAnsi="仿宋_GB2312" w:eastAsia="仿宋_GB2312" w:cs="仿宋_GB2312"/>
          <w:color w:val="333333"/>
          <w:sz w:val="32"/>
          <w:szCs w:val="32"/>
        </w:rPr>
        <w:t>、供销社等部门按照各自职责，做好烟花爆竹燃放管理的相关工作。</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第十条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乡镇人民政府在县人民政府及有关部门的指导下，根据本乡镇实际，组织开展烟花爆竹燃放管理工作。</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第十</w:t>
      </w:r>
      <w:r>
        <w:rPr>
          <w:rStyle w:val="10"/>
          <w:rFonts w:hint="eastAsia" w:ascii="仿宋_GB2312" w:hAnsi="仿宋_GB2312" w:eastAsia="仿宋_GB2312" w:cs="仿宋_GB2312"/>
          <w:b/>
          <w:bCs/>
          <w:color w:val="333333"/>
          <w:sz w:val="32"/>
          <w:szCs w:val="32"/>
          <w:lang w:eastAsia="zh-CN"/>
        </w:rPr>
        <w:t>一</w:t>
      </w:r>
      <w:r>
        <w:rPr>
          <w:rStyle w:val="10"/>
          <w:rFonts w:hint="eastAsia" w:ascii="仿宋_GB2312" w:hAnsi="仿宋_GB2312" w:eastAsia="仿宋_GB2312" w:cs="仿宋_GB2312"/>
          <w:b/>
          <w:bCs/>
          <w:color w:val="333333"/>
          <w:sz w:val="32"/>
          <w:szCs w:val="32"/>
        </w:rPr>
        <w:t>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居民委员会、村民委员会应当配合做好烟花爆竹燃放管理的有关工作，加强对居民、村民的宣传教育，配合做好烟花爆竹燃放管理的巡查、劝阻、警示等工作。</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firstLineChars="20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第十</w:t>
      </w:r>
      <w:r>
        <w:rPr>
          <w:rStyle w:val="10"/>
          <w:rFonts w:hint="eastAsia" w:ascii="仿宋_GB2312" w:hAnsi="仿宋_GB2312" w:eastAsia="仿宋_GB2312" w:cs="仿宋_GB2312"/>
          <w:b/>
          <w:bCs/>
          <w:color w:val="333333"/>
          <w:sz w:val="32"/>
          <w:szCs w:val="32"/>
          <w:lang w:eastAsia="zh-CN"/>
        </w:rPr>
        <w:t>二</w:t>
      </w:r>
      <w:r>
        <w:rPr>
          <w:rStyle w:val="10"/>
          <w:rFonts w:hint="eastAsia" w:ascii="仿宋_GB2312" w:hAnsi="仿宋_GB2312" w:eastAsia="仿宋_GB2312" w:cs="仿宋_GB2312"/>
          <w:b/>
          <w:bCs/>
          <w:color w:val="333333"/>
          <w:sz w:val="32"/>
          <w:szCs w:val="32"/>
        </w:rPr>
        <w:t>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机关、团体、企事业单位应当在本单位开展禁止燃放烟花爆竹的宣传、教育活动。</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广播、报刊、电视、网络等媒体应当做好烟花爆竹燃放管理的宣传工作。</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firstLineChars="20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color w:val="333333"/>
          <w:sz w:val="32"/>
          <w:szCs w:val="32"/>
        </w:rPr>
        <w:t>学校应当对学生进行燃放烟花爆竹的教育和管理。</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firstLineChars="20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第十</w:t>
      </w:r>
      <w:r>
        <w:rPr>
          <w:rStyle w:val="10"/>
          <w:rFonts w:hint="eastAsia" w:ascii="仿宋_GB2312" w:hAnsi="仿宋_GB2312" w:eastAsia="仿宋_GB2312" w:cs="仿宋_GB2312"/>
          <w:b/>
          <w:bCs/>
          <w:color w:val="333333"/>
          <w:sz w:val="32"/>
          <w:szCs w:val="32"/>
          <w:lang w:eastAsia="zh-CN"/>
        </w:rPr>
        <w:t>三</w:t>
      </w:r>
      <w:r>
        <w:rPr>
          <w:rStyle w:val="10"/>
          <w:rFonts w:hint="eastAsia" w:ascii="仿宋_GB2312" w:hAnsi="仿宋_GB2312" w:eastAsia="仿宋_GB2312" w:cs="仿宋_GB2312"/>
          <w:b/>
          <w:bCs/>
          <w:color w:val="333333"/>
          <w:sz w:val="32"/>
          <w:szCs w:val="32"/>
        </w:rPr>
        <w:t>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任何单位和个人对违反本规定的行为均有权劝阻和举报。公安、城管、</w:t>
      </w:r>
      <w:r>
        <w:rPr>
          <w:rStyle w:val="10"/>
          <w:rFonts w:hint="eastAsia" w:ascii="仿宋_GB2312" w:hAnsi="仿宋_GB2312" w:eastAsia="仿宋_GB2312" w:cs="仿宋_GB2312"/>
          <w:color w:val="333333"/>
          <w:sz w:val="32"/>
          <w:szCs w:val="32"/>
          <w:lang w:val="en-US" w:eastAsia="zh-CN"/>
        </w:rPr>
        <w:t>市场监管、生态环境</w:t>
      </w:r>
      <w:r>
        <w:rPr>
          <w:rStyle w:val="10"/>
          <w:rFonts w:hint="eastAsia" w:ascii="仿宋_GB2312" w:hAnsi="仿宋_GB2312" w:eastAsia="仿宋_GB2312" w:cs="仿宋_GB2312"/>
          <w:color w:val="333333"/>
          <w:sz w:val="32"/>
          <w:szCs w:val="32"/>
        </w:rPr>
        <w:t>等部门接到举报后应当及时调查处理。对打击报复劝阻人、举报人的，公安机关应当依法处理。</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第十</w:t>
      </w:r>
      <w:r>
        <w:rPr>
          <w:rStyle w:val="10"/>
          <w:rFonts w:hint="eastAsia" w:ascii="仿宋_GB2312" w:hAnsi="仿宋_GB2312" w:eastAsia="仿宋_GB2312" w:cs="仿宋_GB2312"/>
          <w:b/>
          <w:bCs/>
          <w:color w:val="333333"/>
          <w:sz w:val="32"/>
          <w:szCs w:val="32"/>
          <w:lang w:eastAsia="zh-CN"/>
        </w:rPr>
        <w:t>四</w:t>
      </w:r>
      <w:r>
        <w:rPr>
          <w:rStyle w:val="10"/>
          <w:rFonts w:hint="eastAsia" w:ascii="仿宋_GB2312" w:hAnsi="仿宋_GB2312" w:eastAsia="仿宋_GB2312" w:cs="仿宋_GB2312"/>
          <w:b/>
          <w:bCs/>
          <w:color w:val="333333"/>
          <w:sz w:val="32"/>
          <w:szCs w:val="32"/>
        </w:rPr>
        <w:t>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对没收的非法烟花爆竹以及经营单位弃置的废旧烟花爆竹，应当就地封存，并由公安部门组织销毁、处置。</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bCs/>
          <w:color w:val="333333"/>
          <w:sz w:val="32"/>
          <w:szCs w:val="32"/>
        </w:rPr>
        <w:t>第十</w:t>
      </w:r>
      <w:r>
        <w:rPr>
          <w:rStyle w:val="10"/>
          <w:rFonts w:hint="eastAsia" w:ascii="仿宋_GB2312" w:hAnsi="仿宋_GB2312" w:eastAsia="仿宋_GB2312" w:cs="仿宋_GB2312"/>
          <w:b/>
          <w:bCs/>
          <w:color w:val="333333"/>
          <w:sz w:val="32"/>
          <w:szCs w:val="32"/>
          <w:lang w:eastAsia="zh-CN"/>
        </w:rPr>
        <w:t>五</w:t>
      </w:r>
      <w:r>
        <w:rPr>
          <w:rStyle w:val="10"/>
          <w:rFonts w:hint="eastAsia" w:ascii="仿宋_GB2312" w:hAnsi="仿宋_GB2312" w:eastAsia="仿宋_GB2312" w:cs="仿宋_GB2312"/>
          <w:b/>
          <w:bCs/>
          <w:color w:val="333333"/>
          <w:sz w:val="32"/>
          <w:szCs w:val="32"/>
        </w:rPr>
        <w:t>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国家机关、人民团体、国有企业、事业单位的公务人员应当带头遵守本规定。违反规定的，除接受行政处罚外，根据情节轻重，由有关部门依照职责权限给予追责处理。</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0"/>
        <w:jc w:val="both"/>
        <w:textAlignment w:val="auto"/>
        <w:rPr>
          <w:rFonts w:hint="eastAsia" w:ascii="仿宋_GB2312" w:hAnsi="仿宋_GB2312" w:eastAsia="仿宋_GB2312" w:cs="仿宋_GB2312"/>
          <w:color w:val="0000FF"/>
          <w:sz w:val="32"/>
          <w:szCs w:val="32"/>
          <w:u w:val="single"/>
        </w:rPr>
      </w:pPr>
      <w:r>
        <w:rPr>
          <w:rStyle w:val="10"/>
          <w:rFonts w:hint="eastAsia" w:ascii="仿宋_GB2312" w:hAnsi="仿宋_GB2312" w:eastAsia="仿宋_GB2312" w:cs="仿宋_GB2312"/>
          <w:b/>
          <w:bCs/>
          <w:color w:val="333333"/>
          <w:sz w:val="32"/>
          <w:szCs w:val="32"/>
        </w:rPr>
        <w:t>第十</w:t>
      </w:r>
      <w:r>
        <w:rPr>
          <w:rStyle w:val="10"/>
          <w:rFonts w:hint="eastAsia" w:ascii="仿宋_GB2312" w:hAnsi="仿宋_GB2312" w:eastAsia="仿宋_GB2312" w:cs="仿宋_GB2312"/>
          <w:b/>
          <w:bCs/>
          <w:color w:val="333333"/>
          <w:sz w:val="32"/>
          <w:szCs w:val="32"/>
          <w:lang w:eastAsia="zh-CN"/>
        </w:rPr>
        <w:t>六</w:t>
      </w:r>
      <w:r>
        <w:rPr>
          <w:rStyle w:val="10"/>
          <w:rFonts w:hint="eastAsia" w:ascii="仿宋_GB2312" w:hAnsi="仿宋_GB2312" w:eastAsia="仿宋_GB2312" w:cs="仿宋_GB2312"/>
          <w:b/>
          <w:bCs/>
          <w:color w:val="333333"/>
          <w:sz w:val="32"/>
          <w:szCs w:val="32"/>
        </w:rPr>
        <w:t>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违反本规定，由</w:t>
      </w:r>
      <w:r>
        <w:rPr>
          <w:rStyle w:val="10"/>
          <w:rFonts w:hint="eastAsia" w:ascii="仿宋_GB2312" w:hAnsi="仿宋_GB2312" w:eastAsia="仿宋_GB2312" w:cs="仿宋_GB2312"/>
          <w:color w:val="333333"/>
          <w:sz w:val="32"/>
          <w:szCs w:val="32"/>
          <w:lang w:eastAsia="zh-CN"/>
        </w:rPr>
        <w:t>应急管理</w:t>
      </w:r>
      <w:r>
        <w:rPr>
          <w:rStyle w:val="10"/>
          <w:rFonts w:hint="eastAsia" w:ascii="仿宋_GB2312" w:hAnsi="仿宋_GB2312" w:eastAsia="仿宋_GB2312" w:cs="仿宋_GB2312"/>
          <w:color w:val="333333"/>
          <w:sz w:val="32"/>
          <w:szCs w:val="32"/>
        </w:rPr>
        <w:t>、</w:t>
      </w:r>
      <w:r>
        <w:rPr>
          <w:rStyle w:val="10"/>
          <w:rFonts w:hint="eastAsia" w:ascii="仿宋_GB2312" w:hAnsi="仿宋_GB2312" w:eastAsia="仿宋_GB2312" w:cs="仿宋_GB2312"/>
          <w:color w:val="333333"/>
          <w:sz w:val="32"/>
          <w:szCs w:val="32"/>
          <w:lang w:eastAsia="zh-CN"/>
        </w:rPr>
        <w:t>市场监管</w:t>
      </w:r>
      <w:r>
        <w:rPr>
          <w:rStyle w:val="10"/>
          <w:rFonts w:hint="eastAsia" w:ascii="仿宋_GB2312" w:hAnsi="仿宋_GB2312" w:eastAsia="仿宋_GB2312" w:cs="仿宋_GB2312"/>
          <w:color w:val="333333"/>
          <w:sz w:val="32"/>
          <w:szCs w:val="32"/>
        </w:rPr>
        <w:t>、城管</w:t>
      </w:r>
      <w:r>
        <w:rPr>
          <w:rStyle w:val="10"/>
          <w:rFonts w:hint="eastAsia" w:ascii="仿宋_GB2312" w:hAnsi="仿宋_GB2312" w:eastAsia="仿宋_GB2312" w:cs="仿宋_GB2312"/>
          <w:color w:val="333333"/>
          <w:sz w:val="32"/>
          <w:szCs w:val="32"/>
          <w:lang w:eastAsia="zh-CN"/>
        </w:rPr>
        <w:t>、公安、消防救援</w:t>
      </w:r>
      <w:r>
        <w:rPr>
          <w:rStyle w:val="10"/>
          <w:rFonts w:hint="eastAsia" w:ascii="仿宋_GB2312" w:hAnsi="仿宋_GB2312" w:eastAsia="仿宋_GB2312" w:cs="仿宋_GB2312"/>
          <w:color w:val="333333"/>
          <w:sz w:val="32"/>
          <w:szCs w:val="32"/>
        </w:rPr>
        <w:t>等部门依法处理。</w:t>
      </w:r>
    </w:p>
    <w:p>
      <w:pPr>
        <w:pStyle w:val="9"/>
        <w:keepNext w:val="0"/>
        <w:keepLines w:val="0"/>
        <w:pageBreakBefore w:val="0"/>
        <w:widowControl/>
        <w:shd w:val="clear" w:color="auto" w:fill="FFFFFF"/>
        <w:kinsoku/>
        <w:wordWrap/>
        <w:overflowPunct/>
        <w:topLinePunct w:val="0"/>
        <w:autoSpaceDE/>
        <w:autoSpaceDN/>
        <w:bidi w:val="0"/>
        <w:adjustRightInd/>
        <w:snapToGrid/>
        <w:spacing w:before="0" w:after="0" w:line="520" w:lineRule="exact"/>
        <w:ind w:firstLine="643"/>
        <w:jc w:val="both"/>
        <w:textAlignment w:val="auto"/>
        <w:rPr>
          <w:rFonts w:hint="eastAsia" w:ascii="仿宋_GB2312" w:hAnsi="仿宋_GB2312" w:eastAsia="仿宋_GB2312" w:cs="仿宋_GB2312"/>
          <w:b/>
          <w:sz w:val="32"/>
          <w:szCs w:val="32"/>
        </w:rPr>
      </w:pPr>
      <w:r>
        <w:rPr>
          <w:rStyle w:val="10"/>
          <w:rFonts w:hint="eastAsia" w:ascii="仿宋_GB2312" w:hAnsi="仿宋_GB2312" w:eastAsia="仿宋_GB2312" w:cs="仿宋_GB2312"/>
          <w:b/>
          <w:bCs/>
          <w:color w:val="333333"/>
          <w:sz w:val="32"/>
          <w:szCs w:val="32"/>
        </w:rPr>
        <w:t>第</w:t>
      </w:r>
      <w:r>
        <w:rPr>
          <w:rStyle w:val="10"/>
          <w:rFonts w:hint="eastAsia" w:ascii="仿宋_GB2312" w:hAnsi="仿宋_GB2312" w:eastAsia="仿宋_GB2312" w:cs="仿宋_GB2312"/>
          <w:b/>
          <w:bCs/>
          <w:color w:val="333333"/>
          <w:sz w:val="32"/>
          <w:szCs w:val="32"/>
          <w:lang w:eastAsia="zh-CN"/>
        </w:rPr>
        <w:t>十七</w:t>
      </w:r>
      <w:r>
        <w:rPr>
          <w:rStyle w:val="10"/>
          <w:rFonts w:hint="eastAsia" w:ascii="仿宋_GB2312" w:hAnsi="仿宋_GB2312" w:eastAsia="仿宋_GB2312" w:cs="仿宋_GB2312"/>
          <w:b/>
          <w:bCs/>
          <w:color w:val="333333"/>
          <w:sz w:val="32"/>
          <w:szCs w:val="32"/>
        </w:rPr>
        <w:t>条</w:t>
      </w:r>
      <w:r>
        <w:rPr>
          <w:rStyle w:val="10"/>
          <w:rFonts w:hint="eastAsia" w:ascii="仿宋_GB2312" w:hAnsi="仿宋_GB2312" w:eastAsia="仿宋_GB2312" w:cs="仿宋_GB2312"/>
          <w:b/>
          <w:bCs/>
          <w:color w:val="333333"/>
          <w:sz w:val="32"/>
          <w:szCs w:val="32"/>
          <w:lang w:val="en-US" w:eastAsia="zh-CN"/>
        </w:rPr>
        <w:t xml:space="preserve"> </w:t>
      </w:r>
      <w:r>
        <w:rPr>
          <w:rStyle w:val="10"/>
          <w:rFonts w:hint="eastAsia" w:ascii="仿宋_GB2312" w:hAnsi="仿宋_GB2312" w:eastAsia="仿宋_GB2312" w:cs="仿宋_GB2312"/>
          <w:color w:val="333333"/>
          <w:sz w:val="32"/>
          <w:szCs w:val="32"/>
        </w:rPr>
        <w:t>本规定自公布之日起施行。</w:t>
      </w:r>
    </w:p>
    <w:sectPr>
      <w:head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drawing>
        <wp:anchor distT="0" distB="0" distL="114300" distR="114300" simplePos="0" relativeHeight="251659264" behindDoc="0" locked="0" layoutInCell="1" allowOverlap="1">
          <wp:simplePos x="0" y="0"/>
          <wp:positionH relativeFrom="margin">
            <wp:posOffset>0</wp:posOffset>
          </wp:positionH>
          <wp:positionV relativeFrom="topMargin">
            <wp:posOffset>558800</wp:posOffset>
          </wp:positionV>
          <wp:extent cx="1231900" cy="342900"/>
          <wp:effectExtent l="0" t="0" r="0" b="0"/>
          <wp:wrapThrough wrapText="bothSides">
            <wp:wrapPolygon>
              <wp:start x="-389" y="0"/>
              <wp:lineTo x="-389" y="21340"/>
              <wp:lineTo x="21795" y="21340"/>
              <wp:lineTo x="21795" y="0"/>
              <wp:lineTo x="-389" y="0"/>
            </wp:wrapPolygon>
          </wp:wrapThrough>
          <wp:docPr id="2051" name="图片 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图片 2051"/>
                  <pic:cNvPicPr>
                    <a:picLocks noChangeAspect="1"/>
                  </pic:cNvPicPr>
                </pic:nvPicPr>
                <pic:blipFill>
                  <a:blip r:embed="rId1"/>
                  <a:stretch>
                    <a:fillRect/>
                  </a:stretch>
                </pic:blipFill>
                <pic:spPr>
                  <a:xfrm>
                    <a:off x="0" y="0"/>
                    <a:ext cx="1231900" cy="3429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000000"/>
    <w:rsid w:val="03B73BA9"/>
    <w:rsid w:val="08314DA6"/>
    <w:rsid w:val="08522A87"/>
    <w:rsid w:val="14A20A90"/>
    <w:rsid w:val="22AE3BAF"/>
    <w:rsid w:val="270D38A2"/>
    <w:rsid w:val="28410698"/>
    <w:rsid w:val="3F7322CB"/>
    <w:rsid w:val="4A1173EB"/>
    <w:rsid w:val="50681A02"/>
    <w:rsid w:val="5A940A18"/>
    <w:rsid w:val="620267CE"/>
    <w:rsid w:val="68F05EA0"/>
    <w:rsid w:val="7FF554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Times New Roman" w:cs="Times New Roman"/>
      <w:sz w:val="24"/>
      <w:szCs w:val="24"/>
      <w:lang w:val="en-US" w:eastAsia="en-US"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首行缩进1"/>
    <w:basedOn w:val="3"/>
    <w:qFormat/>
    <w:uiPriority w:val="0"/>
    <w:pPr>
      <w:ind w:firstLine="420" w:firstLineChars="100"/>
    </w:pPr>
    <w:rPr>
      <w:rFonts w:ascii="Times New Roman" w:hAnsi="Times New Roman"/>
    </w:rPr>
  </w:style>
  <w:style w:type="paragraph" w:styleId="3">
    <w:name w:val="Body Text"/>
    <w:basedOn w:val="1"/>
    <w:next w:val="4"/>
    <w:qFormat/>
    <w:uiPriority w:val="1"/>
    <w:pPr>
      <w:ind w:left="113"/>
    </w:pPr>
    <w:rPr>
      <w:rFonts w:ascii="仿宋_GB2312" w:hAnsi="仿宋_GB2312" w:eastAsia="仿宋_GB2312" w:cs="仿宋_GB2312"/>
      <w:sz w:val="32"/>
      <w:szCs w:val="32"/>
      <w:lang w:val="zh-CN" w:eastAsia="zh-CN" w:bidi="zh-CN"/>
    </w:rPr>
  </w:style>
  <w:style w:type="paragraph" w:styleId="4">
    <w:name w:val="Body Text First Indent"/>
    <w:basedOn w:val="3"/>
    <w:qFormat/>
    <w:uiPriority w:val="0"/>
    <w:pPr>
      <w:ind w:firstLine="420" w:firstLineChars="100"/>
    </w:pPr>
  </w:style>
  <w:style w:type="table" w:styleId="6">
    <w:name w:val="Table Grid"/>
    <w:basedOn w:val="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8">
    <w:name w:val="filegongpingexport"/>
    <w:basedOn w:val="1"/>
    <w:qFormat/>
    <w:uiPriority w:val="0"/>
    <w:rPr>
      <w:rFonts w:ascii="仿宋" w:hAnsi="仿宋" w:eastAsia="仿宋" w:cs="仿宋"/>
      <w:sz w:val="32"/>
      <w:szCs w:val="32"/>
    </w:rPr>
  </w:style>
  <w:style w:type="paragraph" w:customStyle="1" w:styleId="9">
    <w:name w:val="filegongpingexport_any"/>
    <w:basedOn w:val="1"/>
    <w:qFormat/>
    <w:uiPriority w:val="0"/>
    <w:rPr>
      <w:rFonts w:ascii="仿宋" w:hAnsi="仿宋" w:eastAsia="仿宋" w:cs="仿宋"/>
      <w:sz w:val="32"/>
      <w:szCs w:val="32"/>
    </w:rPr>
  </w:style>
  <w:style w:type="character" w:customStyle="1" w:styleId="10">
    <w:name w:val="filegongpingexport_any Character"/>
    <w:basedOn w:val="7"/>
    <w:qFormat/>
    <w:uiPriority w:val="0"/>
    <w:rPr>
      <w:rFonts w:ascii="仿宋" w:hAnsi="仿宋" w:eastAsia="仿宋" w:cs="仿宋"/>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 xmlns:cp="http://schemas.openxmlformats.org/package/2006/metadata/core-properties">1</cp:revision>
</cp:coreProperties>
</file>

<file path=customXml/item2.xml><?xml version="1.0" encoding="utf-8"?>
<Properties xmlns="http://schemas.openxmlformats.org/officeDocument/2006/extended-properties" xmlns:vt="http://schemas.openxmlformats.org/officeDocument/2006/docPropsVTypes">
  <Template xmlns="http://schemas.openxmlformats.org/officeDocument/2006/extended-properties">Normal.dot</Template>
  <TotalTime xmlns="http://schemas.openxmlformats.org/officeDocument/2006/extended-properties">0</TotalTime>
  <Pages xmlns="http://schemas.openxmlformats.org/officeDocument/2006/extended-properties">1</Pages>
  <Words xmlns="http://schemas.openxmlformats.org/officeDocument/2006/extended-properties">0</Words>
  <Characters xmlns="http://schemas.openxmlformats.org/officeDocument/2006/extended-properties">0</Characters>
  <Application xmlns="http://schemas.openxmlformats.org/officeDocument/2006/extended-properties">Microsoft Office Word</Application>
  <DocSecurity xmlns="http://schemas.openxmlformats.org/officeDocument/2006/extended-properties">0</DocSecurity>
  <Lines xmlns="http://schemas.openxmlformats.org/officeDocument/2006/extended-properties">1</Lines>
  <Paragraphs xmlns="http://schemas.openxmlformats.org/officeDocument/2006/extended-properties">1</Paragraphs>
  <ScaleCrop xmlns="http://schemas.openxmlformats.org/officeDocument/2006/extended-properties">false</ScaleCrop>
  <HeadingPairs xmlns="http://schemas.openxmlformats.org/officeDocument/2006/extended-properties">
    <vt:vector xmlns:vt="http://schemas.openxmlformats.org/officeDocument/2006/docPropsVTypes" size="2" baseType="variant">
      <vt:variant xmlns:vt="http://schemas.openxmlformats.org/officeDocument/2006/docPropsVTypes">
        <vt:lpstr xmlns:vt="http://schemas.openxmlformats.org/officeDocument/2006/docPropsVTypes">Title</vt:lpstr>
      </vt:variant>
      <vt:variant xmlns:vt="http://schemas.openxmlformats.org/officeDocument/2006/docPropsVTypes">
        <vt:i4 xmlns:vt="http://schemas.openxmlformats.org/officeDocument/2006/docPropsVTypes">1</vt:i4>
      </vt:variant>
    </vt:vector>
  </HeadingPairs>
  <TitlesOfParts xmlns="http://schemas.openxmlformats.org/officeDocument/2006/extended-properties">
    <vt:vector xmlns:vt="http://schemas.openxmlformats.org/officeDocument/2006/docPropsVTypes" size="1" baseType="lpstr">
      <vt:lpstr xmlns:vt="http://schemas.openxmlformats.org/officeDocument/2006/docPropsVTypes"/>
    </vt:vector>
  </TitlesOfParts>
  <Company xmlns="http://schemas.openxmlformats.org/officeDocument/2006/extended-properties"/>
  <LinksUpToDate xmlns="http://schemas.openxmlformats.org/officeDocument/2006/extended-properties">false</LinksUpToDate>
  <CharactersWithSpaces xmlns="http://schemas.openxmlformats.org/officeDocument/2006/extended-properties">0</CharactersWithSpaces>
  <SharedDoc xmlns="http://schemas.openxmlformats.org/officeDocument/2006/extended-properties">false</SharedDoc>
  <HyperlinksChanged xmlns="http://schemas.openxmlformats.org/officeDocument/2006/extended-properties">false</HyperlinksChanged>
  <AppVersion xmlns="http://schemas.openxmlformats.org/officeDocument/2006/extended-properties">12.0000</AppVersion>
</Properties>
</file>

<file path=customXml/itemProps1.xml><?xml version="1.0" encoding="utf-8"?>
<ds:datastoreItem xmlns:ds="http://schemas.openxmlformats.org/officeDocument/2006/customXml" ds:itemID="{ed5220d2-28de-428c-ad8f-3637549840e7}">
  <ds:schemaRefs/>
</ds:datastoreItem>
</file>

<file path=customXml/itemProps2.xml><?xml version="1.0" encoding="utf-8"?>
<ds:datastoreItem xmlns:ds="http://schemas.openxmlformats.org/officeDocument/2006/customXml" ds:itemID="{b2790301-9b77-4c32-bbaf-5f5a7c41fb59}">
  <ds:schemaRefs/>
</ds:datastoreItem>
</file>

<file path=docProps/app.xml><?xml version="1.0" encoding="utf-8"?>
<Properties xmlns="http://schemas.openxmlformats.org/officeDocument/2006/extended-properties" xmlns:vt="http://schemas.openxmlformats.org/officeDocument/2006/docPropsVTypes">
  <Template>Normal.dot</Template>
  <Pages>4</Pages>
  <Words>0</Words>
  <Characters>0</Characters>
  <Lines>1</Lines>
  <Paragraphs>1</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2025-06-06T23:52:00Z</dcterms:created>
  <dc:creator>Administrator</dc:creator>
  <cp:lastModifiedBy>Administrator</cp:lastModifiedBy>
  <cp:lastPrinted>2025-07-04T01:25:00Z</cp:lastPrinted>
  <dcterms:modified xsi:type="dcterms:W3CDTF">2025-09-11T06:58:46Z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0636E9CC28BF4089907F9711555A58AA</vt:lpwstr>
  </property>
</Properties>
</file>