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60" w:lineRule="exact"/>
        <w:ind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大余县南安镇人民政府行政执法职权与责任分解表</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color w:val="auto"/>
          <w:lang w:val="en-US" w:eastAsia="zh-CN"/>
        </w:rPr>
      </w:pPr>
    </w:p>
    <w:tbl>
      <w:tblPr>
        <w:tblStyle w:val="7"/>
        <w:tblW w:w="142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955"/>
        <w:gridCol w:w="5715"/>
        <w:gridCol w:w="1290"/>
        <w:gridCol w:w="1575"/>
        <w:gridCol w:w="2269"/>
        <w:gridCol w:w="24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7" w:hRule="exact"/>
          <w:tblHeader/>
          <w:jc w:val="center"/>
        </w:trPr>
        <w:tc>
          <w:tcPr>
            <w:tcW w:w="9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cs="宋体"/>
                <w:b/>
                <w:bCs/>
                <w:color w:val="auto"/>
                <w:sz w:val="24"/>
                <w:szCs w:val="24"/>
                <w:vertAlign w:val="baseline"/>
                <w:lang w:val="en-US" w:eastAsia="zh-CN"/>
              </w:rPr>
              <w:t>序号</w:t>
            </w:r>
          </w:p>
        </w:tc>
        <w:tc>
          <w:tcPr>
            <w:tcW w:w="571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执法职权</w:t>
            </w:r>
          </w:p>
        </w:tc>
        <w:tc>
          <w:tcPr>
            <w:tcW w:w="129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执法类别</w:t>
            </w:r>
          </w:p>
        </w:tc>
        <w:tc>
          <w:tcPr>
            <w:tcW w:w="15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责任单位</w:t>
            </w:r>
          </w:p>
        </w:tc>
        <w:tc>
          <w:tcPr>
            <w:tcW w:w="226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责任</w:t>
            </w:r>
            <w:r>
              <w:rPr>
                <w:rFonts w:hint="eastAsia" w:ascii="宋体" w:hAnsi="宋体" w:cs="宋体"/>
                <w:b/>
                <w:bCs/>
                <w:color w:val="auto"/>
                <w:sz w:val="24"/>
                <w:szCs w:val="24"/>
                <w:vertAlign w:val="baseline"/>
                <w:lang w:val="en-US" w:eastAsia="zh-CN"/>
              </w:rPr>
              <w:t>机构</w:t>
            </w:r>
          </w:p>
        </w:tc>
        <w:tc>
          <w:tcPr>
            <w:tcW w:w="242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宋体" w:hAnsi="宋体" w:eastAsia="宋体" w:cs="宋体"/>
                <w:b/>
                <w:bCs/>
                <w:color w:val="auto"/>
                <w:sz w:val="24"/>
                <w:szCs w:val="24"/>
                <w:vertAlign w:val="baseline"/>
                <w:lang w:val="en-US" w:eastAsia="zh-CN"/>
              </w:rPr>
            </w:pPr>
            <w:r>
              <w:rPr>
                <w:rFonts w:hint="eastAsia" w:ascii="宋体" w:hAnsi="宋体" w:eastAsia="宋体" w:cs="宋体"/>
                <w:b/>
                <w:bCs/>
                <w:color w:val="auto"/>
                <w:sz w:val="24"/>
                <w:szCs w:val="24"/>
                <w:vertAlign w:val="baseline"/>
                <w:lang w:val="en-US" w:eastAsia="zh-CN"/>
              </w:rPr>
              <w:t>责任人员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2"/>
                <w:sz w:val="21"/>
                <w:szCs w:val="21"/>
                <w:lang w:val="en-US" w:eastAsia="zh-CN" w:bidi="ar-SA"/>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对适龄儿童、少年的父母或者其他法定监护人无正当理由未按法律规定送适龄儿童、少年入学接受义务教育的处罚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2"/>
                <w:sz w:val="21"/>
                <w:szCs w:val="21"/>
                <w:lang w:val="en-US" w:eastAsia="zh-CN" w:bidi="ar-SA"/>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对农村居民未经批准或者违反规划的规定建住宅的处罚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对损坏村庄和集镇的房屋、公共设施和破坏村容镇貌、环境卫生行为的处罚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对农村村民未经批准或者采取欺骗手段骗取批准，非法占用土地建住宅的处罚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7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对森林防火重点期内在森林防火区野外用火违法行为的处罚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对单位和个人损坏或者擅自移动有钉螺地带警示标志的处罚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对电力设施保护区内危及电力设施安全的建筑物、构筑物或者种植植物、堆放物品的责令强制拆除、砍伐或者清除</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行政强制</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default"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对非法种植毒品原植物的强制制止、铲除</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行政强制</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9"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地质灾害应急疏散</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行政强制</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对在乡、村庄规划区内未依法取得乡村建设规划许可证或者未按照乡村建设规划许可证的规定进行建设的强制拆除</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行政强制</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为应对突发事件对单位和个人财产的征用</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行政征收</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对生产经营单位执行有关安全生产的法律、法规和国家标准或行业标准的情况进行监督检查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行政检查</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对防汛抗旱工作的检查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行政检查</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对草地保护、建设和利用情况的监督检查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行政检查</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协助做好本行政区域内食品小作坊、小餐饮、小食杂店和食品小摊贩的监督检查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行政检查</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消防安全检查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行政检查</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80"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对侵占、破坏学校体育设施的处理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对社区戒毒和社区康复人员的监督管理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2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对村民自治章程、村规民约以及村民会议或者村民代表会议的决定违法违规的处理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对村民委员会不及时公布应当公布或公布事项不真实行为的处理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53"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对村民委员会不依照法律、法规的规定履行法定义务行为的处理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对未按规划审批程序批准而取得建设用地批准文件，占用土地的责令退回</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对违反城乡规划管理有关规定的处理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对畜禽养殖环境污染行为的制止</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对业主大会、业主委员会作出违反法律、法规决定的处理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79"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对渡口安全的检查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9"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对小型农村水利工程的安全检查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流浪犬、猫的控制和处置及农村饲养犬只的防疫管理</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对违反规定强迫农民以资代劳的责令改正</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组织开展饲养动物疫病强制免疫</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组织、协调有关部门、单位解决易燃易爆场所设置位置不再符合消防安全要求的安全隐患</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其他行政权力—其他</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未经注册登记，擅自招收幼儿的处罚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对机动车驾驶人在人行道上乱停乱放机动车行为的处罚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破坏或者擅自改变基本农田保护标志的处罚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占用基本农田建窑、建房、建坟、挖砂、采石、采矿、取土、堆放固体废弃物或者从事其他活动破坏基本农田，毁坏种植条件的处罚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7"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建设单位或者个人未经批准进行临时建设、未按照批准内容进行临时建设、临时建筑物、构筑物超过批准期限不拆除的处罚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违反规定露天焚烧秸秆的处罚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0"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对养殖场（养猪场、养鸡场）污染的处罚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对违反规定贮存、堆放、弃置、倾侧、排放污染物、废弃物的处罚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对业主、物业使用人违法搭建建筑物、构筑物的处罚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对业主、物业使用人破坏或者擅自改变房屋外观的处罚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未经城市规划行政主管部门批准，在住宅室内装饰装修活动中搭建建筑物、构筑物的，或者擅自改变住宅外立面、在非承重外墙上开门、窗的处罚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79"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在电线杆、树木、住宅楼道上以及其他未经批准的场所书写、刻画、张贴户外广告的处罚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default"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未经批准擅自在街道两侧和公共场地堆放物料、搭建建筑物、构筑物或者其他设施，影响市容的处罚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1"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饮食服务业的经营者未采取有效污染防治措施，致使排放的油烟对附近居民的居住环境造成污染的处罚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户外广告、标语牌、画廊、橱窗等的使用或管理者未定期维修、油饰或拆除并影响市容的处罚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0"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建筑垃圾储运消纳场受纳工业垃圾、生活垃圾和有毒有害垃圾的处罚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施工单位未及时清运工程施工过程中产生的建筑垃圾造成环境污染的处罚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随意倾倒、抛撒或者堆放建筑垃圾的处罚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6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随意倾倒、抛撒、堆放城市生活垃圾的处罚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未经批准擅自拆除环境卫生设施或者未按批准的拆迁方案进行拆迁的处罚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损坏各类环境卫生设施及其附属设施的处罚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将建筑垃圾混入生活垃圾的处罚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环境卫生专业队伍收取费用后未履行或不完全履行合同的处罚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环境卫生专业队伍不按规定时间清扫保洁街道、清运垃圾粪便的处罚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处置建筑垃圾的单位在运输建筑垃圾过程中沿途丢弃、遗撒建筑垃圾的处罚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80"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对未经核准擅自处置建筑垃圾或处置超出核准范围的建筑垃圾的单位的处罚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不履行卫生责任区清扫保洁义务或者不按规定清运、处理垃圾和粪便的处罚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2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不按规定的时间、地点、方式，倾倒垃圾、粪便的处罚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随地吐痰、便溺，乱扔果皮、纸屑和烟头等废弃物的处罚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59"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乱扔动物尸体的处罚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运输液体、散装货物不作密封、包扎、覆盖，造成泄露、遗撒的处罚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擅自设置大型户外广告影响市容的处罚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6"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厕所、化粪池、下水道冒溢，不及时处理的处罚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对在公厕内乱扔垃圾、污物，随地吐痰，乱涂乱画，破坏公厕设施、设备，未经批准擅自占用或者改变公厕使用性质的处罚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53"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单位和个人未按规定缴纳城市生活垃圾处理费的处罚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5"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未按照所在地建设（环境卫生）主管部门规定的时间和要求接收生活垃圾的处罚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对擅自砍伐、迁移古树名木或者因养护不善致使古树名木受到损伤或者死亡的处罚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对攀、摘树枝、花果，在树上剥皮等损坏公共绿地和园林设施行为的处罚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15"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临时摊点经营者未在规定的临时设摊经营区域和时段内设摊经营，未及时清理经营产生的垃圾，保持地面清洁的处罚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拒不缴纳、拖延缴纳或者拖欠水资源费的处罚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79"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农产品生产企业、农民专业合作经济组织未建立或者未按照规定保存农产品生产记录，或者伪造农产品生产记录的处罚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1"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销售的农产品未按照规定进行包装、标识的处罚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对农村村民未经批准或者采取欺骗手段骗取批准，非法占用土地建住宅地的处罚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畜禽养殖场未建立养殖档案，或者未按照规定保存养殖档案的处罚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对动物、动物产品的运载工具在装载前和卸载后没有及时清洗、消毒的处罚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对使用炸鱼、毒鱼、电鱼等破坏渔业资源方法进行捕捞等行为的处罚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37"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对未依法取得捕捞许可证擅自进行捕捞行为的处罚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对违反捕捞许可证关于作业类型、场所、时限和渔具数量的规定进行捕捞行为的处罚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对销售禁渔区渔获物的处罚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三中队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邓旺祺、朱挺彬、曾祥辉、揭小宁、张程皓、李柯、余静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5"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权限内娱乐场所未在显著位置悬挂警示标志、未成年人禁入或者限入标志的处罚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对未依法取得公共场所卫生许可证擅自营业的处罚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1"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对公共场所经营者未按照规定配备使用预防控制鼠、蚊、蝇、蟑螂和其他病媒生物的设施设备以及废弃物存放专用设施设备的处罚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对公共场所经营者安排未获得有效健康合格证明的从业人员从事直接为顾客服务工作的处罚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对拒绝或者妨碍卫生监督员实施学校卫生监督的处罚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对公共场所经营者未按照规定对顾客用品用具进行清洗、消毒、保洁或者重复使用一次性用品用具的处罚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1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采取虚报、隐瞒、伪造等手段，骗取自然灾害救助款物或者捐赠款物的处罚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生产经营单位主要负责人未履行安全生产管理职责的处罚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生产经营单位其他负责人和安全生产管理人员未履行安全生产管理职责的处罚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责令停止抢夺或者聚众哄抢自然灾害救助款物或者捐赠款物的违法行为</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2"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对盗伐树木的处罚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6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对滥伐树木的处罚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8"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擅自移动或者毁坏生态公益林保护标志牌的处罚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擅自移动或破坏古树名木保护牌的处罚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对致使森林、林木受到毁坏的开垦、采石、采砂、采土等违法活动的处罚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对森林防火重点期内未经批准擅自在森林防火区进行造林整地、烧除疫木等野外用火的处罚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未将营业执照置于住所或者营业场所醒目位置的处罚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食品小摊贩未取得备案卡从事食品经营活动的处罚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6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在广播电视传输线路保护范围内堆放笨重物品，在天线场地敷设或者在架空传输线路上附挂电力、通信线路的处罚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在广播电视设施保护范围内种植树木、农作物，堆放金属物品、易燃易爆物品或者设置金属构件、倾倒腐蚀性物品，钻探、打桩、抛锚、拖锚、挖沙、取土，拴系牲畜、悬挂物品、攀附农作物的处罚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对占用、堵塞、封闭消防车通道，妨碍消防车通行的处罚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对个人在疏散通道、安全出口、楼梯间停放电动自行车或者给电动自行车充电的处罚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对未采取防范措施在野外焚烧杂物、垃圾等可燃物的处罚</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行政处罚</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二中队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黄学平、蓝应亮、杨衍松、刘广进、李静瑄、赖化权、聂兰庆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94" w:hRule="exact"/>
          <w:jc w:val="center"/>
        </w:trPr>
        <w:tc>
          <w:tcPr>
            <w:tcW w:w="955" w:type="dxa"/>
            <w:tcBorders>
              <w:tl2br w:val="nil"/>
              <w:tr2bl w:val="nil"/>
            </w:tcBorders>
            <w:noWrap w:val="0"/>
            <w:vAlign w:val="center"/>
          </w:tcPr>
          <w:p>
            <w:pPr>
              <w:numPr>
                <w:ilvl w:val="0"/>
                <w:numId w:val="1"/>
              </w:numPr>
              <w:tabs>
                <w:tab w:val="left" w:pos="0"/>
              </w:tabs>
              <w:spacing w:line="240" w:lineRule="exact"/>
              <w:ind w:left="0" w:leftChars="0" w:firstLine="283" w:firstLineChars="0"/>
              <w:jc w:val="center"/>
              <w:textAlignment w:val="center"/>
              <w:rPr>
                <w:rFonts w:hint="eastAsia" w:ascii="宋体" w:hAnsi="宋体" w:eastAsia="宋体" w:cs="宋体"/>
                <w:color w:val="auto"/>
                <w:kern w:val="0"/>
                <w:sz w:val="21"/>
                <w:szCs w:val="21"/>
                <w:lang w:val="en-US" w:eastAsia="zh-CN" w:bidi="ar"/>
              </w:rPr>
            </w:pPr>
          </w:p>
        </w:tc>
        <w:tc>
          <w:tcPr>
            <w:tcW w:w="5715" w:type="dxa"/>
            <w:tcBorders>
              <w:tl2br w:val="nil"/>
              <w:tr2bl w:val="nil"/>
            </w:tcBorders>
            <w:noWrap w:val="0"/>
            <w:vAlign w:val="center"/>
          </w:tcPr>
          <w:p>
            <w:pPr>
              <w:spacing w:line="240" w:lineRule="exact"/>
              <w:jc w:val="both"/>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对违反农村宅基地管理法律、法规的行为进行监督检查</w:t>
            </w:r>
          </w:p>
        </w:tc>
        <w:tc>
          <w:tcPr>
            <w:tcW w:w="1290"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行政检查</w:t>
            </w:r>
          </w:p>
        </w:tc>
        <w:tc>
          <w:tcPr>
            <w:tcW w:w="157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南安镇人民政府</w:t>
            </w:r>
          </w:p>
        </w:tc>
        <w:tc>
          <w:tcPr>
            <w:tcW w:w="2269"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一中队</w:t>
            </w:r>
          </w:p>
        </w:tc>
        <w:tc>
          <w:tcPr>
            <w:tcW w:w="2425" w:type="dxa"/>
            <w:tcBorders>
              <w:tl2br w:val="nil"/>
              <w:tr2bl w:val="nil"/>
            </w:tcBorders>
            <w:noWrap w:val="0"/>
            <w:vAlign w:val="center"/>
          </w:tcPr>
          <w:p>
            <w:pPr>
              <w:spacing w:line="240" w:lineRule="exact"/>
              <w:jc w:val="center"/>
              <w:textAlignment w:val="center"/>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冯万华、陈嵚志、叶开元、蒙相如、王逸堃、王翊、邵蕙玟</w:t>
            </w:r>
          </w:p>
        </w:tc>
      </w:tr>
    </w:tbl>
    <w:p>
      <w:pPr>
        <w:spacing w:line="240" w:lineRule="exact"/>
        <w:jc w:val="center"/>
        <w:textAlignment w:val="center"/>
        <w:rPr>
          <w:rFonts w:hint="eastAsia" w:ascii="宋体" w:hAnsi="宋体" w:eastAsia="宋体" w:cs="宋体"/>
          <w:color w:val="auto"/>
          <w:kern w:val="0"/>
          <w:sz w:val="18"/>
          <w:szCs w:val="18"/>
          <w:lang w:val="en-US" w:eastAsia="zh-CN" w:bidi="ar"/>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p>
    <w:p/>
    <w:sectPr>
      <w:headerReference r:id="rId3" w:type="default"/>
      <w:footerReference r:id="rId4"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B7742E"/>
    <w:multiLevelType w:val="singleLevel"/>
    <w:tmpl w:val="CFB7742E"/>
    <w:lvl w:ilvl="0" w:tentative="0">
      <w:start w:val="1"/>
      <w:numFmt w:val="decimal"/>
      <w:suff w:val="space"/>
      <w:lvlText w:val="%1"/>
      <w:lvlJc w:val="center"/>
      <w:pPr>
        <w:ind w:left="0" w:firstLine="283"/>
      </w:pPr>
      <w:rPr>
        <w:rFonts w:hint="default" w:ascii="宋体" w:hAnsi="宋体" w:eastAsia="宋体" w:cs="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OGYwNjU2ZjUyZjgwYmRiOGZiYzMwYmYyMjI3MGMifQ=="/>
  </w:docVars>
  <w:rsids>
    <w:rsidRoot w:val="00000000"/>
    <w:rsid w:val="00B155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叶开元</cp:lastModifiedBy>
  <dcterms:modified xsi:type="dcterms:W3CDTF">2023-12-27T15:42:48Z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0D8CA0CF772C4206A95D63689CD65249_12</vt:lpwstr>
  </property>
</Properties>
</file>